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E4AF3" w14:textId="77777777" w:rsidR="00AE0EAB" w:rsidRPr="00AE0EAB" w:rsidRDefault="00AE0EAB" w:rsidP="00AE0EAB">
      <w:pPr>
        <w:widowControl/>
        <w:spacing w:before="100" w:beforeAutospacing="1" w:after="100" w:afterAutospacing="1" w:line="600" w:lineRule="atLeast"/>
        <w:ind w:firstLine="870"/>
        <w:jc w:val="center"/>
        <w:outlineLvl w:val="1"/>
        <w:rPr>
          <w:rFonts w:ascii="Arial" w:eastAsia="宋体" w:hAnsi="Arial" w:cs="Arial"/>
          <w:b/>
          <w:bCs/>
          <w:color w:val="000000"/>
          <w:kern w:val="0"/>
          <w:sz w:val="36"/>
          <w:szCs w:val="36"/>
        </w:rPr>
      </w:pPr>
      <w:r w:rsidRPr="00AE0EAB">
        <w:rPr>
          <w:rFonts w:ascii="方正小标宋简体" w:eastAsia="方正小标宋简体" w:hAnsi="Arial" w:cs="Arial" w:hint="eastAsia"/>
          <w:color w:val="000000"/>
          <w:kern w:val="0"/>
          <w:sz w:val="44"/>
          <w:szCs w:val="44"/>
        </w:rPr>
        <w:t>西藏自治区区域点数法总额预算和按病种分值付费（DIP）监管考核办法（试行）</w:t>
      </w:r>
    </w:p>
    <w:p w14:paraId="3E1E0227" w14:textId="77777777" w:rsidR="00AE0EAB" w:rsidRPr="00AE0EAB" w:rsidRDefault="00AE0EAB" w:rsidP="00AE0EAB">
      <w:pPr>
        <w:widowControl/>
        <w:spacing w:before="100" w:beforeAutospacing="1" w:after="100" w:afterAutospacing="1" w:line="585" w:lineRule="atLeast"/>
        <w:ind w:firstLine="630"/>
        <w:rPr>
          <w:rFonts w:ascii="Arial" w:eastAsia="宋体" w:hAnsi="Arial" w:cs="Arial"/>
          <w:color w:val="000000"/>
          <w:kern w:val="0"/>
          <w:sz w:val="27"/>
          <w:szCs w:val="27"/>
        </w:rPr>
      </w:pPr>
      <w:r w:rsidRPr="00AE0EAB">
        <w:rPr>
          <w:rFonts w:ascii="仿宋_GB2312" w:eastAsia="仿宋_GB2312" w:hAnsi="Arial" w:cs="Arial" w:hint="eastAsia"/>
          <w:color w:val="000000"/>
          <w:kern w:val="0"/>
          <w:sz w:val="32"/>
        </w:rPr>
        <w:t>为建立城镇职工、城乡居民基本医疗保险DIP付费监管考核制度,发挥医保资金导向作用,引导定点医疗机构合理诊疗,控制医疗费用不合理增长,提高医疗服务水平,保障参保人员利益。根据《医疗保障基金使用监督管理条例》（国令第735号）、《国家医疗保障局办公室关于印发区域点数法总额预算和按病种分值付费试点工作方案的通知》（医保办发〔2020〕45号）、《西藏自治区区域点数法总额预算和按病种分值付费(DIP)实施办法（试行）》等文件精神,结合西藏自治区实际,制定本办法。</w:t>
      </w:r>
    </w:p>
    <w:p w14:paraId="20455CA6" w14:textId="77777777" w:rsidR="00AE0EAB" w:rsidRPr="00AE0EAB" w:rsidRDefault="00AE0EAB" w:rsidP="00AE0EAB">
      <w:pPr>
        <w:widowControl/>
        <w:spacing w:before="100" w:beforeAutospacing="1" w:after="100" w:afterAutospacing="1"/>
        <w:jc w:val="left"/>
        <w:outlineLvl w:val="2"/>
        <w:rPr>
          <w:rFonts w:ascii="Arial" w:eastAsia="宋体" w:hAnsi="Arial" w:cs="Arial"/>
          <w:b/>
          <w:bCs/>
          <w:color w:val="000000"/>
          <w:kern w:val="0"/>
          <w:sz w:val="27"/>
          <w:szCs w:val="27"/>
        </w:rPr>
      </w:pPr>
      <w:r w:rsidRPr="00AE0EAB">
        <w:rPr>
          <w:rFonts w:ascii="仿宋_GB2312" w:eastAsia="仿宋_GB2312" w:hAnsi="Arial" w:cs="Arial" w:hint="eastAsia"/>
          <w:b/>
          <w:bCs/>
          <w:color w:val="000000"/>
          <w:kern w:val="0"/>
          <w:sz w:val="27"/>
          <w:szCs w:val="27"/>
        </w:rPr>
        <w:t>一、考核主体和对象</w:t>
      </w:r>
    </w:p>
    <w:p w14:paraId="200014EA" w14:textId="77777777" w:rsidR="00AE0EAB" w:rsidRPr="00AE0EAB" w:rsidRDefault="00AE0EAB" w:rsidP="00AE0EAB">
      <w:pPr>
        <w:widowControl/>
        <w:spacing w:before="100" w:beforeAutospacing="1" w:after="100" w:afterAutospacing="1" w:line="585" w:lineRule="atLeast"/>
        <w:ind w:firstLine="630"/>
        <w:jc w:val="left"/>
        <w:rPr>
          <w:rFonts w:ascii="Arial" w:eastAsia="宋体" w:hAnsi="Arial" w:cs="Arial"/>
          <w:color w:val="000000"/>
          <w:kern w:val="0"/>
          <w:sz w:val="24"/>
          <w:szCs w:val="24"/>
        </w:rPr>
      </w:pPr>
      <w:r w:rsidRPr="00AE0EAB">
        <w:rPr>
          <w:rFonts w:ascii="仿宋_GB2312" w:eastAsia="仿宋_GB2312" w:hAnsi="Arial" w:cs="Arial" w:hint="eastAsia"/>
          <w:color w:val="000000"/>
          <w:kern w:val="0"/>
          <w:sz w:val="32"/>
        </w:rPr>
        <w:t>（一）监管考核主体。医保经办机构为监管考核主体,负责辖区内 DIP支付方式改革的运行监督,同时负责对各定点医疗机构的住院病例进行审核,并根据考核办法进行考核评估工作。</w:t>
      </w:r>
    </w:p>
    <w:p w14:paraId="3E2F08DC" w14:textId="77777777" w:rsidR="00AE0EAB" w:rsidRPr="00AE0EAB" w:rsidRDefault="00AE0EAB" w:rsidP="00AE0EAB">
      <w:pPr>
        <w:widowControl/>
        <w:spacing w:before="100" w:beforeAutospacing="1" w:after="100" w:afterAutospacing="1" w:line="585" w:lineRule="atLeast"/>
        <w:ind w:firstLine="630"/>
        <w:jc w:val="left"/>
        <w:rPr>
          <w:rFonts w:ascii="Arial" w:eastAsia="宋体" w:hAnsi="Arial" w:cs="Arial"/>
          <w:color w:val="000000"/>
          <w:kern w:val="0"/>
          <w:sz w:val="24"/>
          <w:szCs w:val="24"/>
        </w:rPr>
      </w:pPr>
      <w:r w:rsidRPr="00AE0EAB">
        <w:rPr>
          <w:rFonts w:ascii="仿宋_GB2312" w:eastAsia="仿宋_GB2312" w:hAnsi="Arial" w:cs="Arial" w:hint="eastAsia"/>
          <w:color w:val="000000"/>
          <w:kern w:val="0"/>
          <w:sz w:val="32"/>
        </w:rPr>
        <w:t>（二）监管考核对象。全自治区开展DIP付费的协议医疗机构。</w:t>
      </w:r>
    </w:p>
    <w:p w14:paraId="2D73AE13" w14:textId="77777777" w:rsidR="00AE0EAB" w:rsidRPr="00AE0EAB" w:rsidRDefault="00AE0EAB" w:rsidP="00AE0EAB">
      <w:pPr>
        <w:widowControl/>
        <w:spacing w:before="100" w:beforeAutospacing="1" w:after="100" w:afterAutospacing="1"/>
        <w:jc w:val="left"/>
        <w:outlineLvl w:val="2"/>
        <w:rPr>
          <w:rFonts w:ascii="Arial" w:eastAsia="宋体" w:hAnsi="Arial" w:cs="Arial"/>
          <w:b/>
          <w:bCs/>
          <w:color w:val="000000"/>
          <w:kern w:val="0"/>
          <w:sz w:val="27"/>
          <w:szCs w:val="27"/>
        </w:rPr>
      </w:pPr>
      <w:r w:rsidRPr="00AE0EAB">
        <w:rPr>
          <w:rFonts w:ascii="仿宋_GB2312" w:eastAsia="仿宋_GB2312" w:hAnsi="Arial" w:cs="Arial" w:hint="eastAsia"/>
          <w:b/>
          <w:bCs/>
          <w:color w:val="000000"/>
          <w:kern w:val="0"/>
          <w:sz w:val="27"/>
          <w:szCs w:val="27"/>
        </w:rPr>
        <w:t>二、监管考核方式</w:t>
      </w:r>
    </w:p>
    <w:p w14:paraId="49E9D3B0" w14:textId="77777777" w:rsidR="00AE0EAB" w:rsidRPr="00AE0EAB" w:rsidRDefault="00AE0EAB" w:rsidP="00AE0EAB">
      <w:pPr>
        <w:widowControl/>
        <w:spacing w:before="100" w:beforeAutospacing="1" w:after="100" w:afterAutospacing="1" w:line="585" w:lineRule="atLeast"/>
        <w:ind w:firstLine="630"/>
        <w:jc w:val="left"/>
        <w:rPr>
          <w:rFonts w:ascii="Arial" w:eastAsia="宋体" w:hAnsi="Arial" w:cs="Arial"/>
          <w:color w:val="000000"/>
          <w:kern w:val="0"/>
          <w:sz w:val="24"/>
          <w:szCs w:val="24"/>
        </w:rPr>
      </w:pPr>
      <w:r w:rsidRPr="00AE0EAB">
        <w:rPr>
          <w:rFonts w:ascii="仿宋_GB2312" w:eastAsia="仿宋_GB2312" w:hAnsi="Arial" w:cs="Arial" w:hint="eastAsia"/>
          <w:color w:val="000000"/>
          <w:kern w:val="0"/>
          <w:sz w:val="32"/>
        </w:rPr>
        <w:lastRenderedPageBreak/>
        <w:t>监管考核以基于大数据分析为主,结合客观资料分析、查阅、复核、随访等过程评价。监管考核设置相关指标,重点监管医保结算清单合规性、编码套高、低标入院、二次入院、超长住院等违规行为。采用日常考核与定期考核有机结合。</w:t>
      </w:r>
    </w:p>
    <w:p w14:paraId="2A6AD70A" w14:textId="77777777" w:rsidR="00AE0EAB" w:rsidRPr="00AE0EAB" w:rsidRDefault="00AE0EAB" w:rsidP="00AE0EAB">
      <w:pPr>
        <w:widowControl/>
        <w:spacing w:before="100" w:beforeAutospacing="1" w:after="100" w:afterAutospacing="1" w:line="585" w:lineRule="atLeast"/>
        <w:ind w:firstLine="630"/>
        <w:jc w:val="left"/>
        <w:rPr>
          <w:rFonts w:ascii="Arial" w:eastAsia="宋体" w:hAnsi="Arial" w:cs="Arial"/>
          <w:color w:val="000000"/>
          <w:kern w:val="0"/>
          <w:sz w:val="24"/>
          <w:szCs w:val="24"/>
        </w:rPr>
      </w:pPr>
      <w:r w:rsidRPr="00AE0EAB">
        <w:rPr>
          <w:rFonts w:ascii="仿宋_GB2312" w:eastAsia="仿宋_GB2312" w:hAnsi="Arial" w:cs="Arial" w:hint="eastAsia"/>
          <w:color w:val="000000"/>
          <w:kern w:val="0"/>
          <w:sz w:val="32"/>
        </w:rPr>
        <w:t>（一）日常考核（占年度考核得分的50%）。医保经办机构每月抽取定点医疗机构不少于10%的病历进行考核。通过智能审核监控系统,审核医疗机构上传数据,对智能审核可疑数据进行人工抽审。</w:t>
      </w:r>
    </w:p>
    <w:p w14:paraId="5FC854C7" w14:textId="77777777" w:rsidR="00AE0EAB" w:rsidRPr="00AE0EAB" w:rsidRDefault="00AE0EAB" w:rsidP="00AE0EAB">
      <w:pPr>
        <w:widowControl/>
        <w:spacing w:before="100" w:beforeAutospacing="1" w:after="100" w:afterAutospacing="1" w:line="585" w:lineRule="atLeast"/>
        <w:ind w:firstLine="630"/>
        <w:jc w:val="left"/>
        <w:rPr>
          <w:rFonts w:ascii="Arial" w:eastAsia="宋体" w:hAnsi="Arial" w:cs="Arial"/>
          <w:color w:val="000000"/>
          <w:kern w:val="0"/>
          <w:sz w:val="24"/>
          <w:szCs w:val="24"/>
        </w:rPr>
      </w:pPr>
      <w:r w:rsidRPr="00AE0EAB">
        <w:rPr>
          <w:rFonts w:ascii="仿宋_GB2312" w:eastAsia="仿宋_GB2312" w:hAnsi="Arial" w:cs="Arial" w:hint="eastAsia"/>
          <w:color w:val="000000"/>
          <w:kern w:val="0"/>
          <w:sz w:val="32"/>
        </w:rPr>
        <w:t>（二）定期考核（占年度考核得分的50%）。由医保经办机构组织人员全面实施考核。原则上每年度开展一次,次年4月底前完成上年度医疗机构DIP付费情况的考核。</w:t>
      </w:r>
    </w:p>
    <w:p w14:paraId="23692E56" w14:textId="77777777" w:rsidR="00AE0EAB" w:rsidRPr="00AE0EAB" w:rsidRDefault="00AE0EAB" w:rsidP="00AE0EAB">
      <w:pPr>
        <w:widowControl/>
        <w:spacing w:before="100" w:beforeAutospacing="1" w:after="100" w:afterAutospacing="1"/>
        <w:jc w:val="left"/>
        <w:outlineLvl w:val="2"/>
        <w:rPr>
          <w:rFonts w:ascii="Arial" w:eastAsia="宋体" w:hAnsi="Arial" w:cs="Arial"/>
          <w:b/>
          <w:bCs/>
          <w:color w:val="000000"/>
          <w:kern w:val="0"/>
          <w:sz w:val="27"/>
          <w:szCs w:val="27"/>
        </w:rPr>
      </w:pPr>
      <w:r w:rsidRPr="00AE0EAB">
        <w:rPr>
          <w:rFonts w:ascii="仿宋_GB2312" w:eastAsia="仿宋_GB2312" w:hAnsi="Arial" w:cs="Arial" w:hint="eastAsia"/>
          <w:b/>
          <w:bCs/>
          <w:color w:val="000000"/>
          <w:kern w:val="0"/>
          <w:sz w:val="27"/>
          <w:szCs w:val="27"/>
        </w:rPr>
        <w:t>三、考核评分指标</w:t>
      </w:r>
    </w:p>
    <w:p w14:paraId="15235D21" w14:textId="77777777" w:rsidR="00AE0EAB" w:rsidRPr="00AE0EAB" w:rsidRDefault="00AE0EAB" w:rsidP="00AE0EAB">
      <w:pPr>
        <w:widowControl/>
        <w:spacing w:before="100" w:beforeAutospacing="1" w:after="100" w:afterAutospacing="1" w:line="585" w:lineRule="atLeast"/>
        <w:ind w:firstLine="630"/>
        <w:jc w:val="left"/>
        <w:rPr>
          <w:rFonts w:ascii="Arial" w:eastAsia="宋体" w:hAnsi="Arial" w:cs="Arial"/>
          <w:color w:val="000000"/>
          <w:kern w:val="0"/>
          <w:sz w:val="24"/>
          <w:szCs w:val="24"/>
        </w:rPr>
      </w:pPr>
      <w:r w:rsidRPr="00AE0EAB">
        <w:rPr>
          <w:rFonts w:ascii="仿宋_GB2312" w:eastAsia="仿宋_GB2312" w:hAnsi="Arial" w:cs="Arial" w:hint="eastAsia"/>
          <w:color w:val="000000"/>
          <w:kern w:val="0"/>
          <w:sz w:val="32"/>
        </w:rPr>
        <w:t>（一）组织管理和制度建设：包括组织保障、病案管理、临床路径管理、成本核算管理、绩效考核等配套制度建设、数据信息审核机制建立等。</w:t>
      </w:r>
    </w:p>
    <w:p w14:paraId="08B88432" w14:textId="77777777" w:rsidR="00AE0EAB" w:rsidRPr="00AE0EAB" w:rsidRDefault="00AE0EAB" w:rsidP="00AE0EAB">
      <w:pPr>
        <w:widowControl/>
        <w:spacing w:before="100" w:beforeAutospacing="1" w:after="100" w:afterAutospacing="1" w:line="585" w:lineRule="atLeast"/>
        <w:ind w:firstLine="630"/>
        <w:jc w:val="left"/>
        <w:rPr>
          <w:rFonts w:ascii="Arial" w:eastAsia="宋体" w:hAnsi="Arial" w:cs="Arial"/>
          <w:color w:val="000000"/>
          <w:kern w:val="0"/>
          <w:sz w:val="24"/>
          <w:szCs w:val="24"/>
        </w:rPr>
      </w:pPr>
      <w:r w:rsidRPr="00AE0EAB">
        <w:rPr>
          <w:rFonts w:ascii="仿宋_GB2312" w:eastAsia="仿宋_GB2312" w:hAnsi="Arial" w:cs="Arial" w:hint="eastAsia"/>
          <w:color w:val="000000"/>
          <w:kern w:val="0"/>
          <w:sz w:val="32"/>
        </w:rPr>
        <w:t>（二）医保结算清单质量：包括医保结算清单的完整性、主要诊断选择合理性、医疗费用结算的准确率等。</w:t>
      </w:r>
    </w:p>
    <w:p w14:paraId="29B43766" w14:textId="77777777" w:rsidR="00AE0EAB" w:rsidRPr="00AE0EAB" w:rsidRDefault="00AE0EAB" w:rsidP="00AE0EAB">
      <w:pPr>
        <w:widowControl/>
        <w:spacing w:before="100" w:beforeAutospacing="1" w:after="100" w:afterAutospacing="1" w:line="585" w:lineRule="atLeast"/>
        <w:ind w:firstLine="630"/>
        <w:jc w:val="left"/>
        <w:rPr>
          <w:rFonts w:ascii="Arial" w:eastAsia="宋体" w:hAnsi="Arial" w:cs="Arial"/>
          <w:color w:val="000000"/>
          <w:kern w:val="0"/>
          <w:sz w:val="24"/>
          <w:szCs w:val="24"/>
        </w:rPr>
      </w:pPr>
      <w:r w:rsidRPr="00AE0EAB">
        <w:rPr>
          <w:rFonts w:ascii="仿宋_GB2312" w:eastAsia="仿宋_GB2312" w:hAnsi="Arial" w:cs="Arial" w:hint="eastAsia"/>
          <w:color w:val="000000"/>
          <w:kern w:val="0"/>
          <w:sz w:val="32"/>
        </w:rPr>
        <w:lastRenderedPageBreak/>
        <w:t>（三）医疗行为：包括非计划二次入院、低标入院、超长住院、平均住院日等。</w:t>
      </w:r>
    </w:p>
    <w:p w14:paraId="01BE179B" w14:textId="77777777" w:rsidR="00AE0EAB" w:rsidRPr="00AE0EAB" w:rsidRDefault="00AE0EAB" w:rsidP="00AE0EAB">
      <w:pPr>
        <w:widowControl/>
        <w:spacing w:before="100" w:beforeAutospacing="1" w:after="100" w:afterAutospacing="1" w:line="585" w:lineRule="atLeast"/>
        <w:ind w:firstLine="630"/>
        <w:jc w:val="left"/>
        <w:rPr>
          <w:rFonts w:ascii="Arial" w:eastAsia="宋体" w:hAnsi="Arial" w:cs="Arial"/>
          <w:color w:val="000000"/>
          <w:kern w:val="0"/>
          <w:sz w:val="24"/>
          <w:szCs w:val="24"/>
        </w:rPr>
      </w:pPr>
      <w:r w:rsidRPr="00AE0EAB">
        <w:rPr>
          <w:rFonts w:ascii="仿宋_GB2312" w:eastAsia="仿宋_GB2312" w:hAnsi="Arial" w:cs="Arial" w:hint="eastAsia"/>
          <w:color w:val="000000"/>
          <w:kern w:val="0"/>
          <w:sz w:val="32"/>
        </w:rPr>
        <w:t>（四）服务能力：包括住院服务量、重症患者占比等。</w:t>
      </w:r>
    </w:p>
    <w:p w14:paraId="749C36B9" w14:textId="77777777" w:rsidR="00AE0EAB" w:rsidRPr="00AE0EAB" w:rsidRDefault="00AE0EAB" w:rsidP="00AE0EAB">
      <w:pPr>
        <w:widowControl/>
        <w:spacing w:before="100" w:beforeAutospacing="1" w:after="100" w:afterAutospacing="1" w:line="585" w:lineRule="atLeast"/>
        <w:ind w:firstLine="630"/>
        <w:rPr>
          <w:rFonts w:ascii="Arial" w:eastAsia="宋体" w:hAnsi="Arial" w:cs="Arial"/>
          <w:color w:val="000000"/>
          <w:kern w:val="0"/>
          <w:sz w:val="27"/>
          <w:szCs w:val="27"/>
        </w:rPr>
      </w:pPr>
      <w:r w:rsidRPr="00AE0EAB">
        <w:rPr>
          <w:rFonts w:ascii="仿宋_GB2312" w:eastAsia="仿宋_GB2312" w:hAnsi="Arial" w:cs="Arial" w:hint="eastAsia"/>
          <w:color w:val="000000"/>
          <w:kern w:val="0"/>
          <w:sz w:val="32"/>
        </w:rPr>
        <w:t>（五）费用控制：包括与按项目付费的总费用增长率（门诊和住院）、总人次增长率（门诊和住院）、人次人头比（住院）、参保患者自付自费占比、住院天数等。</w:t>
      </w:r>
    </w:p>
    <w:p w14:paraId="27EC57DD" w14:textId="77777777" w:rsidR="00AE0EAB" w:rsidRPr="00AE0EAB" w:rsidRDefault="00AE0EAB" w:rsidP="00AE0EAB">
      <w:pPr>
        <w:widowControl/>
        <w:spacing w:before="100" w:beforeAutospacing="1" w:after="100" w:afterAutospacing="1" w:line="585" w:lineRule="atLeast"/>
        <w:ind w:firstLine="630"/>
        <w:jc w:val="left"/>
        <w:rPr>
          <w:rFonts w:ascii="Arial" w:eastAsia="宋体" w:hAnsi="Arial" w:cs="Arial"/>
          <w:color w:val="000000"/>
          <w:kern w:val="0"/>
          <w:sz w:val="24"/>
          <w:szCs w:val="24"/>
        </w:rPr>
      </w:pPr>
      <w:r w:rsidRPr="00AE0EAB">
        <w:rPr>
          <w:rFonts w:ascii="仿宋_GB2312" w:eastAsia="仿宋_GB2312" w:hAnsi="Arial" w:cs="Arial" w:hint="eastAsia"/>
          <w:color w:val="000000"/>
          <w:kern w:val="0"/>
          <w:sz w:val="32"/>
        </w:rPr>
        <w:t>（六）患者满意度：根据调查问卷调查患者对医疗行为和医疗质量的满意度。</w:t>
      </w:r>
    </w:p>
    <w:p w14:paraId="30F37F0B" w14:textId="77777777" w:rsidR="00AE0EAB" w:rsidRPr="00AE0EAB" w:rsidRDefault="00AE0EAB" w:rsidP="00AE0EAB">
      <w:pPr>
        <w:widowControl/>
        <w:spacing w:before="100" w:beforeAutospacing="1" w:after="100" w:afterAutospacing="1" w:line="585" w:lineRule="atLeast"/>
        <w:ind w:firstLine="630"/>
        <w:jc w:val="left"/>
        <w:rPr>
          <w:rFonts w:ascii="Arial" w:eastAsia="宋体" w:hAnsi="Arial" w:cs="Arial"/>
          <w:color w:val="000000"/>
          <w:kern w:val="0"/>
          <w:sz w:val="24"/>
          <w:szCs w:val="24"/>
        </w:rPr>
      </w:pPr>
      <w:r w:rsidRPr="00AE0EAB">
        <w:rPr>
          <w:rFonts w:ascii="仿宋_GB2312" w:eastAsia="仿宋_GB2312" w:hAnsi="Arial" w:cs="Arial" w:hint="eastAsia"/>
          <w:color w:val="000000"/>
          <w:kern w:val="0"/>
          <w:sz w:val="32"/>
        </w:rPr>
        <w:t>（七）加分指标项：为建立考核激励机制,鼓励医疗机构提高医疗服务能力建设,设置CMI值、病案首页合规性、年度实际报销比例、院内组织DIP相关培训等加分指标项。当考核总分大于100分的,以100分计算。</w:t>
      </w:r>
    </w:p>
    <w:p w14:paraId="085DA6F6" w14:textId="77777777" w:rsidR="00AE0EAB" w:rsidRPr="00AE0EAB" w:rsidRDefault="00AE0EAB" w:rsidP="00AE0EAB">
      <w:pPr>
        <w:widowControl/>
        <w:spacing w:before="100" w:beforeAutospacing="1" w:after="100" w:afterAutospacing="1" w:line="585" w:lineRule="atLeast"/>
        <w:ind w:firstLine="630"/>
        <w:jc w:val="left"/>
        <w:rPr>
          <w:rFonts w:ascii="Arial" w:eastAsia="宋体" w:hAnsi="Arial" w:cs="Arial"/>
          <w:color w:val="000000"/>
          <w:kern w:val="0"/>
          <w:sz w:val="24"/>
          <w:szCs w:val="24"/>
        </w:rPr>
      </w:pPr>
      <w:r w:rsidRPr="00AE0EAB">
        <w:rPr>
          <w:rFonts w:ascii="仿宋_GB2312" w:eastAsia="仿宋_GB2312" w:hAnsi="Arial" w:cs="Arial" w:hint="eastAsia"/>
          <w:color w:val="000000"/>
          <w:kern w:val="0"/>
          <w:sz w:val="32"/>
        </w:rPr>
        <w:t>考核评分标准见附件《西藏自治区DIP付费医疗机构监管考核评分表》</w:t>
      </w:r>
    </w:p>
    <w:p w14:paraId="0BDAD64E" w14:textId="77777777" w:rsidR="00AE0EAB" w:rsidRPr="00AE0EAB" w:rsidRDefault="00AE0EAB" w:rsidP="00AE0EAB">
      <w:pPr>
        <w:widowControl/>
        <w:spacing w:before="100" w:beforeAutospacing="1" w:after="100" w:afterAutospacing="1"/>
        <w:jc w:val="left"/>
        <w:outlineLvl w:val="2"/>
        <w:rPr>
          <w:rFonts w:ascii="Arial" w:eastAsia="宋体" w:hAnsi="Arial" w:cs="Arial"/>
          <w:b/>
          <w:bCs/>
          <w:color w:val="000000"/>
          <w:kern w:val="0"/>
          <w:sz w:val="27"/>
          <w:szCs w:val="27"/>
        </w:rPr>
      </w:pPr>
      <w:r w:rsidRPr="00AE0EAB">
        <w:rPr>
          <w:rFonts w:ascii="仿宋_GB2312" w:eastAsia="仿宋_GB2312" w:hAnsi="Arial" w:cs="Arial" w:hint="eastAsia"/>
          <w:b/>
          <w:bCs/>
          <w:color w:val="000000"/>
          <w:kern w:val="0"/>
          <w:sz w:val="27"/>
          <w:szCs w:val="27"/>
        </w:rPr>
        <w:t>四、评分结果应用</w:t>
      </w:r>
    </w:p>
    <w:p w14:paraId="655C24E2" w14:textId="77777777" w:rsidR="00AE0EAB" w:rsidRPr="00AE0EAB" w:rsidRDefault="00AE0EAB" w:rsidP="00AE0EAB">
      <w:pPr>
        <w:widowControl/>
        <w:spacing w:before="100" w:beforeAutospacing="1" w:after="100" w:afterAutospacing="1" w:line="585" w:lineRule="atLeast"/>
        <w:ind w:firstLine="630"/>
        <w:jc w:val="left"/>
        <w:rPr>
          <w:rFonts w:ascii="Arial" w:eastAsia="宋体" w:hAnsi="Arial" w:cs="Arial"/>
          <w:color w:val="000000"/>
          <w:kern w:val="0"/>
          <w:sz w:val="24"/>
          <w:szCs w:val="24"/>
        </w:rPr>
      </w:pPr>
      <w:r w:rsidRPr="00AE0EAB">
        <w:rPr>
          <w:rFonts w:ascii="仿宋_GB2312" w:eastAsia="仿宋_GB2312" w:hAnsi="Arial" w:cs="Arial" w:hint="eastAsia"/>
          <w:color w:val="000000"/>
          <w:kern w:val="0"/>
          <w:sz w:val="32"/>
        </w:rPr>
        <w:t>对DIP定点医疗机构考核坚持“考核和付费”相结合的办法,建立监管结果与质量保证金兑付、病种分值年度清算挂钩机制。</w:t>
      </w:r>
    </w:p>
    <w:p w14:paraId="1AFFD4EF" w14:textId="77777777" w:rsidR="00AE0EAB" w:rsidRPr="00AE0EAB" w:rsidRDefault="00AE0EAB" w:rsidP="00AE0EAB">
      <w:pPr>
        <w:widowControl/>
        <w:spacing w:before="100" w:beforeAutospacing="1" w:after="100" w:afterAutospacing="1" w:line="585" w:lineRule="atLeast"/>
        <w:ind w:firstLine="630"/>
        <w:jc w:val="left"/>
        <w:rPr>
          <w:rFonts w:ascii="Arial" w:eastAsia="宋体" w:hAnsi="Arial" w:cs="Arial"/>
          <w:color w:val="000000"/>
          <w:kern w:val="0"/>
          <w:sz w:val="24"/>
          <w:szCs w:val="24"/>
        </w:rPr>
      </w:pPr>
      <w:r w:rsidRPr="00AE0EAB">
        <w:rPr>
          <w:rFonts w:ascii="仿宋_GB2312" w:eastAsia="仿宋_GB2312" w:hAnsi="Arial" w:cs="Arial" w:hint="eastAsia"/>
          <w:color w:val="000000"/>
          <w:kern w:val="0"/>
          <w:sz w:val="32"/>
        </w:rPr>
        <w:lastRenderedPageBreak/>
        <w:t>（一）质量保证金兑付。医保经办机构根据年度考核结果兑付医疗机构质量保证金。质量保证金兑付比例具体标准：考核得分≥90,兑付比例为100%；60≤得分&lt;90,兑付比例按实际考核得分/100*100%；年度考核得分&lt;60,不予兑付。</w:t>
      </w:r>
    </w:p>
    <w:p w14:paraId="63989EB4" w14:textId="77777777" w:rsidR="00AE0EAB" w:rsidRPr="00AE0EAB" w:rsidRDefault="00AE0EAB" w:rsidP="00AE0EAB">
      <w:pPr>
        <w:widowControl/>
        <w:spacing w:before="100" w:beforeAutospacing="1" w:after="100" w:afterAutospacing="1" w:line="585" w:lineRule="atLeast"/>
        <w:ind w:firstLine="630"/>
        <w:jc w:val="left"/>
        <w:rPr>
          <w:rFonts w:ascii="Arial" w:eastAsia="宋体" w:hAnsi="Arial" w:cs="Arial"/>
          <w:color w:val="000000"/>
          <w:kern w:val="0"/>
          <w:sz w:val="24"/>
          <w:szCs w:val="24"/>
        </w:rPr>
      </w:pPr>
      <w:r w:rsidRPr="00AE0EAB">
        <w:rPr>
          <w:rFonts w:ascii="仿宋_GB2312" w:eastAsia="仿宋_GB2312" w:hAnsi="Arial" w:cs="Arial" w:hint="eastAsia"/>
          <w:color w:val="000000"/>
          <w:kern w:val="0"/>
          <w:sz w:val="32"/>
        </w:rPr>
        <w:t>（二）病种分值年度清算。根据《国家医疗保障按病种分值付费（DIP）技术规范》等监管考核规定,对于经查实的以下违规行为,在扣除年度考核得分的同时,将在年度清算时予以扣减分值,且违规病例费用不得以其他任何形式给予基金拨付。</w:t>
      </w:r>
    </w:p>
    <w:p w14:paraId="710D3CF9" w14:textId="77777777" w:rsidR="00AE0EAB" w:rsidRPr="00AE0EAB" w:rsidRDefault="00AE0EAB" w:rsidP="00AE0EAB">
      <w:pPr>
        <w:widowControl/>
        <w:spacing w:before="100" w:beforeAutospacing="1" w:after="100" w:afterAutospacing="1" w:line="585" w:lineRule="atLeast"/>
        <w:ind w:firstLine="630"/>
        <w:jc w:val="left"/>
        <w:rPr>
          <w:rFonts w:ascii="Arial" w:eastAsia="宋体" w:hAnsi="Arial" w:cs="Arial"/>
          <w:color w:val="000000"/>
          <w:kern w:val="0"/>
          <w:sz w:val="24"/>
          <w:szCs w:val="24"/>
        </w:rPr>
      </w:pPr>
      <w:r w:rsidRPr="00AE0EAB">
        <w:rPr>
          <w:rFonts w:ascii="仿宋_GB2312" w:eastAsia="仿宋_GB2312" w:hAnsi="Arial" w:cs="Arial" w:hint="eastAsia"/>
          <w:color w:val="000000"/>
          <w:kern w:val="0"/>
          <w:sz w:val="32"/>
        </w:rPr>
        <w:t>1.编码套高。经查实编码套高的病例,按该病例套高后的分值予以扣除,并处以2-5倍违约分值扣减。</w:t>
      </w:r>
    </w:p>
    <w:p w14:paraId="23E917A4" w14:textId="77777777" w:rsidR="00AE0EAB" w:rsidRPr="00AE0EAB" w:rsidRDefault="00AE0EAB" w:rsidP="00AE0EAB">
      <w:pPr>
        <w:widowControl/>
        <w:spacing w:before="100" w:beforeAutospacing="1" w:after="100" w:afterAutospacing="1" w:line="585" w:lineRule="atLeast"/>
        <w:ind w:firstLine="630"/>
        <w:jc w:val="left"/>
        <w:rPr>
          <w:rFonts w:ascii="Arial" w:eastAsia="宋体" w:hAnsi="Arial" w:cs="Arial"/>
          <w:color w:val="000000"/>
          <w:kern w:val="0"/>
          <w:sz w:val="24"/>
          <w:szCs w:val="24"/>
        </w:rPr>
      </w:pPr>
      <w:r w:rsidRPr="00AE0EAB">
        <w:rPr>
          <w:rFonts w:ascii="仿宋_GB2312" w:eastAsia="仿宋_GB2312" w:hAnsi="Arial" w:cs="Arial" w:hint="eastAsia"/>
          <w:color w:val="000000"/>
          <w:kern w:val="0"/>
          <w:sz w:val="32"/>
        </w:rPr>
        <w:t>2.非计划二次入院。同一参保人员同一病种15天内再次入院,重点考核7天内再入院,确定为非计划二次入院的,当次住院分值不予计算,并处以1-2倍违约分值扣减（除肿瘤需要定期放、化疗计划再入院及其他特殊情形）。</w:t>
      </w:r>
    </w:p>
    <w:p w14:paraId="403CB9BB" w14:textId="77777777" w:rsidR="00AE0EAB" w:rsidRPr="00AE0EAB" w:rsidRDefault="00AE0EAB" w:rsidP="00AE0EAB">
      <w:pPr>
        <w:widowControl/>
        <w:spacing w:before="100" w:beforeAutospacing="1" w:after="100" w:afterAutospacing="1" w:line="585" w:lineRule="atLeast"/>
        <w:ind w:firstLine="630"/>
        <w:jc w:val="left"/>
        <w:rPr>
          <w:rFonts w:ascii="Arial" w:eastAsia="宋体" w:hAnsi="Arial" w:cs="Arial"/>
          <w:color w:val="000000"/>
          <w:kern w:val="0"/>
          <w:sz w:val="24"/>
          <w:szCs w:val="24"/>
        </w:rPr>
      </w:pPr>
      <w:r w:rsidRPr="00AE0EAB">
        <w:rPr>
          <w:rFonts w:ascii="仿宋_GB2312" w:eastAsia="仿宋_GB2312" w:hAnsi="Arial" w:cs="Arial" w:hint="eastAsia"/>
          <w:color w:val="000000"/>
          <w:kern w:val="0"/>
          <w:sz w:val="32"/>
        </w:rPr>
        <w:t>3.低标入院。将可以经门诊治疗不需住院的病人收治入院的,当次住院分值不予计算,并处以1-2倍违约分值扣减。</w:t>
      </w:r>
    </w:p>
    <w:p w14:paraId="74AE1BE3" w14:textId="77777777" w:rsidR="00AE0EAB" w:rsidRPr="00AE0EAB" w:rsidRDefault="00AE0EAB" w:rsidP="00AE0EAB">
      <w:pPr>
        <w:widowControl/>
        <w:spacing w:before="100" w:beforeAutospacing="1" w:after="100" w:afterAutospacing="1" w:line="585" w:lineRule="atLeast"/>
        <w:ind w:firstLine="630"/>
        <w:jc w:val="left"/>
        <w:rPr>
          <w:rFonts w:ascii="Arial" w:eastAsia="宋体" w:hAnsi="Arial" w:cs="Arial"/>
          <w:color w:val="000000"/>
          <w:kern w:val="0"/>
          <w:sz w:val="24"/>
          <w:szCs w:val="24"/>
        </w:rPr>
      </w:pPr>
      <w:r w:rsidRPr="00AE0EAB">
        <w:rPr>
          <w:rFonts w:ascii="仿宋_GB2312" w:eastAsia="仿宋_GB2312" w:hAnsi="Arial" w:cs="Arial" w:hint="eastAsia"/>
          <w:color w:val="000000"/>
          <w:kern w:val="0"/>
          <w:sz w:val="32"/>
        </w:rPr>
        <w:lastRenderedPageBreak/>
        <w:t>医疗机构在为没有达到出院标准的参保人员办理转诊转院时,应选择“转院”（不应选择“出院”）；若选择“出院”,而同一参保人员因同一疾病同一诊断3天之内再次发生入院的,将对医院按照“二次入院”或“低标入院”进行处理。</w:t>
      </w:r>
    </w:p>
    <w:p w14:paraId="5670D551" w14:textId="77777777" w:rsidR="00AE0EAB" w:rsidRPr="00AE0EAB" w:rsidRDefault="00AE0EAB" w:rsidP="00AE0EAB">
      <w:pPr>
        <w:widowControl/>
        <w:spacing w:before="100" w:beforeAutospacing="1" w:after="100" w:afterAutospacing="1" w:line="585" w:lineRule="atLeast"/>
        <w:ind w:firstLine="630"/>
        <w:jc w:val="left"/>
        <w:rPr>
          <w:rFonts w:ascii="Arial" w:eastAsia="宋体" w:hAnsi="Arial" w:cs="Arial"/>
          <w:color w:val="000000"/>
          <w:kern w:val="0"/>
          <w:sz w:val="24"/>
          <w:szCs w:val="24"/>
        </w:rPr>
      </w:pPr>
      <w:r w:rsidRPr="00AE0EAB">
        <w:rPr>
          <w:rFonts w:ascii="仿宋_GB2312" w:eastAsia="仿宋_GB2312" w:hAnsi="Arial" w:cs="Arial" w:hint="eastAsia"/>
          <w:color w:val="000000"/>
          <w:kern w:val="0"/>
          <w:sz w:val="32"/>
        </w:rPr>
        <w:t>4.超长住院。超出区域内同病种平均住院日1倍及以上的为超长住院病例（康复类等经专家评议特殊病例的除外）,经查实确为超长住院病例的,当次住院分值不予计算,并处以1-2倍违约分值扣减。</w:t>
      </w:r>
    </w:p>
    <w:p w14:paraId="41B45606" w14:textId="77777777" w:rsidR="00AE0EAB" w:rsidRPr="00AE0EAB" w:rsidRDefault="00AE0EAB" w:rsidP="00AE0EAB">
      <w:pPr>
        <w:widowControl/>
        <w:spacing w:before="100" w:beforeAutospacing="1" w:after="100" w:afterAutospacing="1" w:line="585" w:lineRule="atLeast"/>
        <w:ind w:firstLine="630"/>
        <w:jc w:val="left"/>
        <w:rPr>
          <w:rFonts w:ascii="Arial" w:eastAsia="宋体" w:hAnsi="Arial" w:cs="Arial"/>
          <w:color w:val="000000"/>
          <w:kern w:val="0"/>
          <w:sz w:val="24"/>
          <w:szCs w:val="24"/>
        </w:rPr>
      </w:pPr>
      <w:r w:rsidRPr="00AE0EAB">
        <w:rPr>
          <w:rFonts w:ascii="仿宋_GB2312" w:eastAsia="仿宋_GB2312" w:hAnsi="Arial" w:cs="Arial" w:hint="eastAsia"/>
          <w:color w:val="000000"/>
          <w:kern w:val="0"/>
          <w:sz w:val="32"/>
        </w:rPr>
        <w:t>上述违规行为构成行政违法的,将移送医疗保障行政监督部门；构成违法犯罪的,将移送司法机关,依法追究刑事责任。</w:t>
      </w:r>
    </w:p>
    <w:p w14:paraId="3E54F69A" w14:textId="77777777" w:rsidR="00AE0EAB" w:rsidRPr="00AE0EAB" w:rsidRDefault="00AE0EAB" w:rsidP="00AE0EAB">
      <w:pPr>
        <w:widowControl/>
        <w:spacing w:before="100" w:beforeAutospacing="1" w:after="100" w:afterAutospacing="1"/>
        <w:jc w:val="left"/>
        <w:outlineLvl w:val="2"/>
        <w:rPr>
          <w:rFonts w:ascii="Arial" w:eastAsia="宋体" w:hAnsi="Arial" w:cs="Arial"/>
          <w:b/>
          <w:bCs/>
          <w:color w:val="000000"/>
          <w:kern w:val="0"/>
          <w:sz w:val="27"/>
          <w:szCs w:val="27"/>
        </w:rPr>
      </w:pPr>
      <w:r w:rsidRPr="00AE0EAB">
        <w:rPr>
          <w:rFonts w:ascii="仿宋_GB2312" w:eastAsia="仿宋_GB2312" w:hAnsi="Arial" w:cs="Arial" w:hint="eastAsia"/>
          <w:b/>
          <w:bCs/>
          <w:color w:val="000000"/>
          <w:kern w:val="0"/>
          <w:sz w:val="27"/>
          <w:szCs w:val="27"/>
        </w:rPr>
        <w:t>五、办法试行日期</w:t>
      </w:r>
    </w:p>
    <w:p w14:paraId="5C85444A" w14:textId="77777777" w:rsidR="00AE0EAB" w:rsidRPr="00AE0EAB" w:rsidRDefault="00AE0EAB" w:rsidP="00AE0EAB">
      <w:pPr>
        <w:widowControl/>
        <w:spacing w:before="100" w:beforeAutospacing="1" w:after="100" w:afterAutospacing="1" w:line="585" w:lineRule="atLeast"/>
        <w:ind w:firstLine="630"/>
        <w:jc w:val="left"/>
        <w:rPr>
          <w:rFonts w:ascii="Arial" w:eastAsia="宋体" w:hAnsi="Arial" w:cs="Arial"/>
          <w:color w:val="000000"/>
          <w:kern w:val="0"/>
          <w:sz w:val="24"/>
          <w:szCs w:val="24"/>
        </w:rPr>
      </w:pPr>
      <w:r w:rsidRPr="00AE0EAB">
        <w:rPr>
          <w:rFonts w:ascii="仿宋_GB2312" w:eastAsia="仿宋_GB2312" w:hAnsi="Arial" w:cs="Arial" w:hint="eastAsia"/>
          <w:color w:val="000000"/>
          <w:kern w:val="0"/>
          <w:sz w:val="32"/>
        </w:rPr>
        <w:t>本办法自2021年12月15日起试行,根据工作需要适时修改完善。</w:t>
      </w:r>
    </w:p>
    <w:p w14:paraId="7F99BC9F" w14:textId="77777777" w:rsidR="00AE0EAB" w:rsidRPr="00AE0EAB" w:rsidRDefault="00AE0EAB" w:rsidP="00AE0EAB">
      <w:pPr>
        <w:widowControl/>
        <w:spacing w:before="100" w:beforeAutospacing="1" w:after="100" w:afterAutospacing="1" w:line="360" w:lineRule="atLeast"/>
        <w:ind w:firstLine="630"/>
        <w:jc w:val="left"/>
        <w:rPr>
          <w:rFonts w:ascii="Arial" w:eastAsia="宋体" w:hAnsi="Arial" w:cs="Arial"/>
          <w:color w:val="000000"/>
          <w:kern w:val="0"/>
          <w:sz w:val="27"/>
          <w:szCs w:val="27"/>
        </w:rPr>
      </w:pPr>
    </w:p>
    <w:tbl>
      <w:tblPr>
        <w:tblW w:w="0" w:type="auto"/>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950"/>
        <w:gridCol w:w="577"/>
        <w:gridCol w:w="890"/>
        <w:gridCol w:w="1183"/>
        <w:gridCol w:w="2513"/>
        <w:gridCol w:w="707"/>
        <w:gridCol w:w="1470"/>
      </w:tblGrid>
      <w:tr w:rsidR="00AE0EAB" w:rsidRPr="00AE0EAB" w14:paraId="60D86A53" w14:textId="77777777" w:rsidTr="00AE0EAB">
        <w:trPr>
          <w:trHeight w:val="516"/>
        </w:trPr>
        <w:tc>
          <w:tcPr>
            <w:tcW w:w="13755" w:type="dxa"/>
            <w:gridSpan w:val="7"/>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7E615A0" w14:textId="77777777" w:rsidR="00AE0EAB" w:rsidRPr="00AE0EAB" w:rsidRDefault="00AE0EAB" w:rsidP="00AE0EAB">
            <w:pPr>
              <w:widowControl/>
              <w:wordWrap w:val="0"/>
              <w:spacing w:line="585" w:lineRule="atLeast"/>
              <w:ind w:firstLine="645"/>
              <w:jc w:val="center"/>
              <w:rPr>
                <w:rFonts w:ascii="宋体" w:eastAsia="宋体" w:hAnsi="宋体" w:cs="宋体"/>
                <w:kern w:val="0"/>
                <w:sz w:val="24"/>
                <w:szCs w:val="24"/>
              </w:rPr>
            </w:pPr>
            <w:r w:rsidRPr="00AE0EAB">
              <w:rPr>
                <w:rFonts w:ascii="仿宋_GB2312" w:eastAsia="仿宋_GB2312" w:hAnsi="宋体" w:cs="宋体" w:hint="eastAsia"/>
                <w:b/>
                <w:bCs/>
                <w:color w:val="000000"/>
                <w:kern w:val="0"/>
                <w:sz w:val="32"/>
              </w:rPr>
              <w:t>西藏自治区DIP付费医疗机构监管考核评分表</w:t>
            </w:r>
          </w:p>
        </w:tc>
      </w:tr>
      <w:tr w:rsidR="00AE0EAB" w:rsidRPr="00AE0EAB" w14:paraId="0B8094AE" w14:textId="77777777" w:rsidTr="00AE0EAB">
        <w:trPr>
          <w:trHeight w:val="516"/>
        </w:trPr>
        <w:tc>
          <w:tcPr>
            <w:tcW w:w="13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973CBC4"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b/>
                <w:bCs/>
                <w:color w:val="000000"/>
                <w:kern w:val="0"/>
                <w:szCs w:val="21"/>
              </w:rPr>
              <w:t>考核项目</w:t>
            </w:r>
          </w:p>
        </w:tc>
        <w:tc>
          <w:tcPr>
            <w:tcW w:w="7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A5D0156"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b/>
                <w:bCs/>
                <w:color w:val="000000"/>
                <w:kern w:val="0"/>
                <w:szCs w:val="21"/>
              </w:rPr>
              <w:t>序号</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D08FFA1"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b/>
                <w:bCs/>
                <w:color w:val="000000"/>
                <w:kern w:val="0"/>
                <w:szCs w:val="21"/>
              </w:rPr>
              <w:t>考核指标</w:t>
            </w:r>
          </w:p>
        </w:tc>
        <w:tc>
          <w:tcPr>
            <w:tcW w:w="19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D43B6F4"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b/>
                <w:bCs/>
                <w:color w:val="000000"/>
                <w:kern w:val="0"/>
                <w:szCs w:val="21"/>
              </w:rPr>
              <w:t>考核方法</w:t>
            </w:r>
          </w:p>
        </w:tc>
        <w:tc>
          <w:tcPr>
            <w:tcW w:w="4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9CE8509"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b/>
                <w:bCs/>
                <w:color w:val="000000"/>
                <w:kern w:val="0"/>
                <w:szCs w:val="21"/>
              </w:rPr>
              <w:t>考核内容</w:t>
            </w:r>
          </w:p>
        </w:tc>
        <w:tc>
          <w:tcPr>
            <w:tcW w:w="10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2D26E4E"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b/>
                <w:bCs/>
                <w:color w:val="000000"/>
                <w:kern w:val="0"/>
                <w:szCs w:val="21"/>
              </w:rPr>
              <w:t>评分分值</w:t>
            </w:r>
          </w:p>
        </w:tc>
        <w:tc>
          <w:tcPr>
            <w:tcW w:w="25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DDE7D7A"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b/>
                <w:bCs/>
                <w:color w:val="000000"/>
                <w:kern w:val="0"/>
                <w:szCs w:val="21"/>
              </w:rPr>
              <w:t>评分标准</w:t>
            </w:r>
          </w:p>
        </w:tc>
      </w:tr>
      <w:tr w:rsidR="00AE0EAB" w:rsidRPr="00AE0EAB" w14:paraId="23C33B62" w14:textId="77777777" w:rsidTr="00AE0EAB">
        <w:trPr>
          <w:trHeight w:val="1020"/>
        </w:trPr>
        <w:tc>
          <w:tcPr>
            <w:tcW w:w="1365" w:type="dxa"/>
            <w:vMerge w:val="restart"/>
            <w:tcBorders>
              <w:top w:val="nil"/>
              <w:left w:val="single" w:sz="6" w:space="0" w:color="000000"/>
              <w:bottom w:val="single" w:sz="6" w:space="0" w:color="auto"/>
              <w:right w:val="single" w:sz="6" w:space="0" w:color="000000"/>
            </w:tcBorders>
            <w:tcMar>
              <w:top w:w="0" w:type="dxa"/>
              <w:left w:w="105" w:type="dxa"/>
              <w:bottom w:w="0" w:type="dxa"/>
              <w:right w:w="105" w:type="dxa"/>
            </w:tcMar>
            <w:vAlign w:val="center"/>
            <w:hideMark/>
          </w:tcPr>
          <w:p w14:paraId="5ED4854A"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b/>
                <w:bCs/>
                <w:color w:val="000000"/>
                <w:kern w:val="0"/>
                <w:szCs w:val="21"/>
              </w:rPr>
              <w:t>组织建设(20分)</w:t>
            </w:r>
          </w:p>
        </w:tc>
        <w:tc>
          <w:tcPr>
            <w:tcW w:w="7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A0A5CEC"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1</w:t>
            </w:r>
          </w:p>
        </w:tc>
        <w:tc>
          <w:tcPr>
            <w:tcW w:w="136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A9B98F0"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DIP付费组织保障</w:t>
            </w:r>
          </w:p>
        </w:tc>
        <w:tc>
          <w:tcPr>
            <w:tcW w:w="190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E46E270"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现场查阅</w:t>
            </w:r>
          </w:p>
        </w:tc>
        <w:tc>
          <w:tcPr>
            <w:tcW w:w="469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069C5D1"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医院成立由院长牵头的DIP付费改革领导小组及工作小组；小组成员职</w:t>
            </w:r>
            <w:r w:rsidRPr="00AE0EAB">
              <w:rPr>
                <w:rFonts w:ascii="仿宋_GB2312" w:eastAsia="仿宋_GB2312" w:hAnsi="宋体" w:cs="宋体" w:hint="eastAsia"/>
                <w:color w:val="000000"/>
                <w:kern w:val="0"/>
                <w:szCs w:val="21"/>
              </w:rPr>
              <w:lastRenderedPageBreak/>
              <w:t>责清晰、机制健全；有工作计划和实施方案。</w:t>
            </w:r>
          </w:p>
        </w:tc>
        <w:tc>
          <w:tcPr>
            <w:tcW w:w="10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4D6C8AD"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lastRenderedPageBreak/>
              <w:t>8</w:t>
            </w: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EDD8850"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医院成立由院长牵头的DIP付费改革领导</w:t>
            </w:r>
            <w:r w:rsidRPr="00AE0EAB">
              <w:rPr>
                <w:rFonts w:ascii="仿宋_GB2312" w:eastAsia="仿宋_GB2312" w:hAnsi="宋体" w:cs="宋体" w:hint="eastAsia"/>
                <w:color w:val="000000"/>
                <w:kern w:val="0"/>
                <w:szCs w:val="21"/>
              </w:rPr>
              <w:lastRenderedPageBreak/>
              <w:t>小组及工作小组得4分；小组成员职责清晰、机制健全得2分；有工作计划和实施方案得2分。</w:t>
            </w:r>
          </w:p>
        </w:tc>
      </w:tr>
      <w:tr w:rsidR="00AE0EAB" w:rsidRPr="00AE0EAB" w14:paraId="072ECB06" w14:textId="77777777" w:rsidTr="00AE0EAB">
        <w:trPr>
          <w:trHeight w:val="660"/>
        </w:trPr>
        <w:tc>
          <w:tcPr>
            <w:tcW w:w="0" w:type="auto"/>
            <w:vMerge/>
            <w:tcBorders>
              <w:top w:val="nil"/>
              <w:left w:val="single" w:sz="6" w:space="0" w:color="000000"/>
              <w:bottom w:val="single" w:sz="6" w:space="0" w:color="auto"/>
              <w:right w:val="single" w:sz="6" w:space="0" w:color="000000"/>
            </w:tcBorders>
            <w:vAlign w:val="center"/>
            <w:hideMark/>
          </w:tcPr>
          <w:p w14:paraId="13C9DBAC" w14:textId="77777777" w:rsidR="00AE0EAB" w:rsidRPr="00AE0EAB" w:rsidRDefault="00AE0EAB" w:rsidP="00AE0EAB">
            <w:pPr>
              <w:widowControl/>
              <w:wordWrap w:val="0"/>
              <w:jc w:val="left"/>
              <w:rPr>
                <w:rFonts w:ascii="宋体" w:eastAsia="宋体" w:hAnsi="宋体" w:cs="宋体"/>
                <w:kern w:val="0"/>
                <w:sz w:val="24"/>
                <w:szCs w:val="24"/>
              </w:rPr>
            </w:pPr>
          </w:p>
        </w:tc>
        <w:tc>
          <w:tcPr>
            <w:tcW w:w="7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1FD0A62"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2</w:t>
            </w:r>
          </w:p>
        </w:tc>
        <w:tc>
          <w:tcPr>
            <w:tcW w:w="136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3843495"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DIP制度建设</w:t>
            </w:r>
          </w:p>
        </w:tc>
        <w:tc>
          <w:tcPr>
            <w:tcW w:w="190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1E20FF2"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现场查阅</w:t>
            </w:r>
          </w:p>
        </w:tc>
        <w:tc>
          <w:tcPr>
            <w:tcW w:w="469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88A8C41"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建立部门间沟通协商及问题处理机制；建立病案管理、临床路径管理、成本核算管理、绩效考核制度等配套措施。</w:t>
            </w:r>
          </w:p>
        </w:tc>
        <w:tc>
          <w:tcPr>
            <w:tcW w:w="10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633958B"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6</w:t>
            </w: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3FCE01F"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配套政策完整得6分,少一项扣1分。</w:t>
            </w:r>
          </w:p>
        </w:tc>
      </w:tr>
      <w:tr w:rsidR="00AE0EAB" w:rsidRPr="00AE0EAB" w14:paraId="338C71F5" w14:textId="77777777" w:rsidTr="00AE0EAB">
        <w:trPr>
          <w:trHeight w:val="876"/>
        </w:trPr>
        <w:tc>
          <w:tcPr>
            <w:tcW w:w="0" w:type="auto"/>
            <w:vMerge/>
            <w:tcBorders>
              <w:top w:val="nil"/>
              <w:left w:val="single" w:sz="6" w:space="0" w:color="000000"/>
              <w:bottom w:val="single" w:sz="6" w:space="0" w:color="auto"/>
              <w:right w:val="single" w:sz="6" w:space="0" w:color="000000"/>
            </w:tcBorders>
            <w:vAlign w:val="center"/>
            <w:hideMark/>
          </w:tcPr>
          <w:p w14:paraId="292F5CC7" w14:textId="77777777" w:rsidR="00AE0EAB" w:rsidRPr="00AE0EAB" w:rsidRDefault="00AE0EAB" w:rsidP="00AE0EAB">
            <w:pPr>
              <w:widowControl/>
              <w:wordWrap w:val="0"/>
              <w:jc w:val="left"/>
              <w:rPr>
                <w:rFonts w:ascii="宋体" w:eastAsia="宋体" w:hAnsi="宋体" w:cs="宋体"/>
                <w:kern w:val="0"/>
                <w:sz w:val="24"/>
                <w:szCs w:val="24"/>
              </w:rPr>
            </w:pPr>
          </w:p>
        </w:tc>
        <w:tc>
          <w:tcPr>
            <w:tcW w:w="780" w:type="dxa"/>
            <w:tcBorders>
              <w:top w:val="nil"/>
              <w:left w:val="nil"/>
              <w:bottom w:val="single" w:sz="6" w:space="0" w:color="auto"/>
              <w:right w:val="single" w:sz="6" w:space="0" w:color="000000"/>
            </w:tcBorders>
            <w:tcMar>
              <w:top w:w="0" w:type="dxa"/>
              <w:left w:w="105" w:type="dxa"/>
              <w:bottom w:w="0" w:type="dxa"/>
              <w:right w:w="105" w:type="dxa"/>
            </w:tcMar>
            <w:vAlign w:val="center"/>
            <w:hideMark/>
          </w:tcPr>
          <w:p w14:paraId="19070F98"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3</w:t>
            </w:r>
          </w:p>
        </w:tc>
        <w:tc>
          <w:tcPr>
            <w:tcW w:w="1365" w:type="dxa"/>
            <w:tcBorders>
              <w:top w:val="nil"/>
              <w:left w:val="nil"/>
              <w:bottom w:val="single" w:sz="6" w:space="0" w:color="auto"/>
              <w:right w:val="single" w:sz="6" w:space="0" w:color="000000"/>
            </w:tcBorders>
            <w:tcMar>
              <w:top w:w="0" w:type="dxa"/>
              <w:left w:w="105" w:type="dxa"/>
              <w:bottom w:w="0" w:type="dxa"/>
              <w:right w:w="105" w:type="dxa"/>
            </w:tcMar>
            <w:vAlign w:val="center"/>
            <w:hideMark/>
          </w:tcPr>
          <w:p w14:paraId="3EEDF0C4"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数据信息审核机制</w:t>
            </w:r>
          </w:p>
        </w:tc>
        <w:tc>
          <w:tcPr>
            <w:tcW w:w="1905" w:type="dxa"/>
            <w:tcBorders>
              <w:top w:val="nil"/>
              <w:left w:val="nil"/>
              <w:bottom w:val="single" w:sz="6" w:space="0" w:color="auto"/>
              <w:right w:val="single" w:sz="6" w:space="0" w:color="000000"/>
            </w:tcBorders>
            <w:tcMar>
              <w:top w:w="0" w:type="dxa"/>
              <w:left w:w="105" w:type="dxa"/>
              <w:bottom w:w="0" w:type="dxa"/>
              <w:right w:w="105" w:type="dxa"/>
            </w:tcMar>
            <w:vAlign w:val="center"/>
            <w:hideMark/>
          </w:tcPr>
          <w:p w14:paraId="493A7209"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现场查阅</w:t>
            </w:r>
          </w:p>
        </w:tc>
        <w:tc>
          <w:tcPr>
            <w:tcW w:w="4695" w:type="dxa"/>
            <w:tcBorders>
              <w:top w:val="nil"/>
              <w:left w:val="nil"/>
              <w:bottom w:val="single" w:sz="6" w:space="0" w:color="auto"/>
              <w:right w:val="single" w:sz="6" w:space="0" w:color="000000"/>
            </w:tcBorders>
            <w:tcMar>
              <w:top w:w="0" w:type="dxa"/>
              <w:left w:w="105" w:type="dxa"/>
              <w:bottom w:w="0" w:type="dxa"/>
              <w:right w:w="105" w:type="dxa"/>
            </w:tcMar>
            <w:vAlign w:val="center"/>
            <w:hideMark/>
          </w:tcPr>
          <w:p w14:paraId="62358D26"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医院端作为数据信息的第一级审核单位,建立上传数据信息审核机制,并组织实施。</w:t>
            </w:r>
          </w:p>
        </w:tc>
        <w:tc>
          <w:tcPr>
            <w:tcW w:w="1080" w:type="dxa"/>
            <w:tcBorders>
              <w:top w:val="nil"/>
              <w:left w:val="nil"/>
              <w:bottom w:val="single" w:sz="6" w:space="0" w:color="auto"/>
              <w:right w:val="single" w:sz="6" w:space="0" w:color="000000"/>
            </w:tcBorders>
            <w:tcMar>
              <w:top w:w="0" w:type="dxa"/>
              <w:left w:w="105" w:type="dxa"/>
              <w:bottom w:w="0" w:type="dxa"/>
              <w:right w:w="105" w:type="dxa"/>
            </w:tcMar>
            <w:vAlign w:val="center"/>
            <w:hideMark/>
          </w:tcPr>
          <w:p w14:paraId="3B74C864"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6</w:t>
            </w:r>
          </w:p>
        </w:tc>
        <w:tc>
          <w:tcPr>
            <w:tcW w:w="2550" w:type="dxa"/>
            <w:tcBorders>
              <w:top w:val="nil"/>
              <w:left w:val="nil"/>
              <w:bottom w:val="single" w:sz="6" w:space="0" w:color="auto"/>
              <w:right w:val="single" w:sz="6" w:space="0" w:color="000000"/>
            </w:tcBorders>
            <w:tcMar>
              <w:top w:w="0" w:type="dxa"/>
              <w:left w:w="105" w:type="dxa"/>
              <w:bottom w:w="0" w:type="dxa"/>
              <w:right w:w="105" w:type="dxa"/>
            </w:tcMar>
            <w:vAlign w:val="center"/>
            <w:hideMark/>
          </w:tcPr>
          <w:p w14:paraId="0A387927"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医院端建立数据信息审核机制得2分,组织实施得4分。</w:t>
            </w:r>
          </w:p>
        </w:tc>
      </w:tr>
      <w:tr w:rsidR="00AE0EAB" w:rsidRPr="00AE0EAB" w14:paraId="732FF3D1" w14:textId="77777777" w:rsidTr="00AE0EAB">
        <w:trPr>
          <w:trHeight w:val="1020"/>
        </w:trPr>
        <w:tc>
          <w:tcPr>
            <w:tcW w:w="136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hideMark/>
          </w:tcPr>
          <w:p w14:paraId="2DFCA4F6"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b/>
                <w:bCs/>
                <w:color w:val="000000"/>
                <w:kern w:val="0"/>
                <w:szCs w:val="21"/>
              </w:rPr>
              <w:t>医保结算清单质量（20分）</w:t>
            </w:r>
          </w:p>
        </w:tc>
        <w:tc>
          <w:tcPr>
            <w:tcW w:w="7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0514CDB"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4</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9FE3F14"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医保结算清单合规性</w:t>
            </w:r>
          </w:p>
        </w:tc>
        <w:tc>
          <w:tcPr>
            <w:tcW w:w="19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9C6D416"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数据分析</w:t>
            </w:r>
          </w:p>
        </w:tc>
        <w:tc>
          <w:tcPr>
            <w:tcW w:w="4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BC30019"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上传医保结算清单合规数量占上传医保结算清单的总数。计算公式：上传医保结算清单合规数量/同期上传医保结算清单总数（单议病例除外）×100%</w:t>
            </w:r>
          </w:p>
        </w:tc>
        <w:tc>
          <w:tcPr>
            <w:tcW w:w="10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2E78A15"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10</w:t>
            </w:r>
          </w:p>
        </w:tc>
        <w:tc>
          <w:tcPr>
            <w:tcW w:w="25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7A94103"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医保结算清单质量的合规率≥90%得10分,每减少1%扣0.5分,扣完为止。</w:t>
            </w:r>
          </w:p>
        </w:tc>
      </w:tr>
      <w:tr w:rsidR="00AE0EAB" w:rsidRPr="00AE0EAB" w14:paraId="785E9098" w14:textId="77777777" w:rsidTr="00AE0EAB">
        <w:trPr>
          <w:trHeight w:val="936"/>
        </w:trPr>
        <w:tc>
          <w:tcPr>
            <w:tcW w:w="0" w:type="auto"/>
            <w:vMerge/>
            <w:tcBorders>
              <w:top w:val="nil"/>
              <w:left w:val="single" w:sz="6" w:space="0" w:color="auto"/>
              <w:bottom w:val="single" w:sz="6" w:space="0" w:color="000000"/>
              <w:right w:val="single" w:sz="6" w:space="0" w:color="auto"/>
            </w:tcBorders>
            <w:vAlign w:val="center"/>
            <w:hideMark/>
          </w:tcPr>
          <w:p w14:paraId="11A99011" w14:textId="77777777" w:rsidR="00AE0EAB" w:rsidRPr="00AE0EAB" w:rsidRDefault="00AE0EAB" w:rsidP="00AE0EAB">
            <w:pPr>
              <w:widowControl/>
              <w:wordWrap w:val="0"/>
              <w:jc w:val="left"/>
              <w:rPr>
                <w:rFonts w:ascii="宋体" w:eastAsia="宋体" w:hAnsi="宋体" w:cs="宋体"/>
                <w:kern w:val="0"/>
                <w:sz w:val="24"/>
                <w:szCs w:val="24"/>
              </w:rPr>
            </w:pPr>
          </w:p>
        </w:tc>
        <w:tc>
          <w:tcPr>
            <w:tcW w:w="780" w:type="dxa"/>
            <w:tcBorders>
              <w:top w:val="nil"/>
              <w:left w:val="nil"/>
              <w:bottom w:val="single" w:sz="6" w:space="0" w:color="auto"/>
              <w:right w:val="single" w:sz="6" w:space="0" w:color="000000"/>
            </w:tcBorders>
            <w:tcMar>
              <w:top w:w="0" w:type="dxa"/>
              <w:left w:w="105" w:type="dxa"/>
              <w:bottom w:w="0" w:type="dxa"/>
              <w:right w:w="105" w:type="dxa"/>
            </w:tcMar>
            <w:vAlign w:val="center"/>
            <w:hideMark/>
          </w:tcPr>
          <w:p w14:paraId="31088876"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5</w:t>
            </w:r>
          </w:p>
        </w:tc>
        <w:tc>
          <w:tcPr>
            <w:tcW w:w="1365" w:type="dxa"/>
            <w:tcBorders>
              <w:top w:val="nil"/>
              <w:left w:val="nil"/>
              <w:bottom w:val="single" w:sz="6" w:space="0" w:color="auto"/>
              <w:right w:val="single" w:sz="6" w:space="0" w:color="000000"/>
            </w:tcBorders>
            <w:tcMar>
              <w:top w:w="0" w:type="dxa"/>
              <w:left w:w="105" w:type="dxa"/>
              <w:bottom w:w="0" w:type="dxa"/>
              <w:right w:w="105" w:type="dxa"/>
            </w:tcMar>
            <w:vAlign w:val="center"/>
            <w:hideMark/>
          </w:tcPr>
          <w:p w14:paraId="2F67D7C2"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编码套高</w:t>
            </w:r>
          </w:p>
        </w:tc>
        <w:tc>
          <w:tcPr>
            <w:tcW w:w="1905" w:type="dxa"/>
            <w:tcBorders>
              <w:top w:val="nil"/>
              <w:left w:val="nil"/>
              <w:bottom w:val="single" w:sz="6" w:space="0" w:color="auto"/>
              <w:right w:val="single" w:sz="6" w:space="0" w:color="000000"/>
            </w:tcBorders>
            <w:tcMar>
              <w:top w:w="0" w:type="dxa"/>
              <w:left w:w="105" w:type="dxa"/>
              <w:bottom w:w="0" w:type="dxa"/>
              <w:right w:w="105" w:type="dxa"/>
            </w:tcMar>
            <w:vAlign w:val="center"/>
            <w:hideMark/>
          </w:tcPr>
          <w:p w14:paraId="3DCCEC7E"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数据分析、病例抽检</w:t>
            </w:r>
          </w:p>
        </w:tc>
        <w:tc>
          <w:tcPr>
            <w:tcW w:w="4695" w:type="dxa"/>
            <w:tcBorders>
              <w:top w:val="nil"/>
              <w:left w:val="nil"/>
              <w:bottom w:val="single" w:sz="6" w:space="0" w:color="auto"/>
              <w:right w:val="single" w:sz="6" w:space="0" w:color="000000"/>
            </w:tcBorders>
            <w:tcMar>
              <w:top w:w="0" w:type="dxa"/>
              <w:left w:w="105" w:type="dxa"/>
              <w:bottom w:w="0" w:type="dxa"/>
              <w:right w:w="105" w:type="dxa"/>
            </w:tcMar>
            <w:vAlign w:val="center"/>
            <w:hideMark/>
          </w:tcPr>
          <w:p w14:paraId="79996E65"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医疗机构通过调整主诊断、虚增诊断、虚增手术等方式使病例进入高分组的行为,产生分值高套。</w:t>
            </w:r>
          </w:p>
        </w:tc>
        <w:tc>
          <w:tcPr>
            <w:tcW w:w="1080" w:type="dxa"/>
            <w:tcBorders>
              <w:top w:val="nil"/>
              <w:left w:val="nil"/>
              <w:bottom w:val="single" w:sz="6" w:space="0" w:color="auto"/>
              <w:right w:val="single" w:sz="6" w:space="0" w:color="000000"/>
            </w:tcBorders>
            <w:tcMar>
              <w:top w:w="0" w:type="dxa"/>
              <w:left w:w="105" w:type="dxa"/>
              <w:bottom w:w="0" w:type="dxa"/>
              <w:right w:w="105" w:type="dxa"/>
            </w:tcMar>
            <w:vAlign w:val="center"/>
            <w:hideMark/>
          </w:tcPr>
          <w:p w14:paraId="0E2D039E"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10</w:t>
            </w: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FF07FAA"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每查实一例扣1分,超过5例此项不得分,并扣减违约分值。</w:t>
            </w:r>
          </w:p>
        </w:tc>
      </w:tr>
      <w:tr w:rsidR="00AE0EAB" w:rsidRPr="00AE0EAB" w14:paraId="2ED5087F" w14:textId="77777777" w:rsidTr="00AE0EAB">
        <w:trPr>
          <w:trHeight w:val="792"/>
        </w:trPr>
        <w:tc>
          <w:tcPr>
            <w:tcW w:w="1365" w:type="dxa"/>
            <w:vMerge w:val="restart"/>
            <w:tcBorders>
              <w:top w:val="nil"/>
              <w:left w:val="single" w:sz="6" w:space="0" w:color="000000"/>
              <w:bottom w:val="single" w:sz="6" w:space="0" w:color="auto"/>
              <w:right w:val="single" w:sz="6" w:space="0" w:color="000000"/>
            </w:tcBorders>
            <w:tcMar>
              <w:top w:w="0" w:type="dxa"/>
              <w:left w:w="105" w:type="dxa"/>
              <w:bottom w:w="0" w:type="dxa"/>
              <w:right w:w="105" w:type="dxa"/>
            </w:tcMar>
            <w:vAlign w:val="center"/>
            <w:hideMark/>
          </w:tcPr>
          <w:p w14:paraId="5EDE1087" w14:textId="77777777" w:rsidR="00AE0EAB" w:rsidRPr="00AE0EAB" w:rsidRDefault="00AE0EAB" w:rsidP="00AE0EAB">
            <w:pPr>
              <w:widowControl/>
              <w:wordWrap w:val="0"/>
              <w:spacing w:line="360" w:lineRule="atLeast"/>
              <w:jc w:val="center"/>
              <w:rPr>
                <w:rFonts w:ascii="宋体" w:eastAsia="宋体" w:hAnsi="宋体" w:cs="宋体"/>
                <w:kern w:val="0"/>
                <w:sz w:val="24"/>
                <w:szCs w:val="24"/>
              </w:rPr>
            </w:pPr>
            <w:r w:rsidRPr="00AE0EAB">
              <w:rPr>
                <w:rFonts w:ascii="仿宋_GB2312" w:eastAsia="仿宋_GB2312" w:hAnsi="宋体" w:cs="宋体" w:hint="eastAsia"/>
                <w:b/>
                <w:bCs/>
                <w:color w:val="000000"/>
                <w:kern w:val="0"/>
                <w:szCs w:val="21"/>
              </w:rPr>
              <w:t>医疗行为（30分）</w:t>
            </w:r>
          </w:p>
        </w:tc>
        <w:tc>
          <w:tcPr>
            <w:tcW w:w="7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82CE7E2"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6</w:t>
            </w:r>
          </w:p>
        </w:tc>
        <w:tc>
          <w:tcPr>
            <w:tcW w:w="136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DC87E9A"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二次入院率(非计划15天再次住院)</w:t>
            </w:r>
          </w:p>
        </w:tc>
        <w:tc>
          <w:tcPr>
            <w:tcW w:w="190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FADA7F2"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数据分析、病例抽检</w:t>
            </w:r>
          </w:p>
        </w:tc>
        <w:tc>
          <w:tcPr>
            <w:tcW w:w="469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410CC20"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重点监管 7天内的分解入院（特殊情形除外）。</w:t>
            </w:r>
          </w:p>
        </w:tc>
        <w:tc>
          <w:tcPr>
            <w:tcW w:w="10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373BFF8"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8</w:t>
            </w: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A98467E"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每查实一例扣1分,超过5例此项不得分,并扣减违约分值。</w:t>
            </w:r>
          </w:p>
        </w:tc>
      </w:tr>
      <w:tr w:rsidR="00AE0EAB" w:rsidRPr="00AE0EAB" w14:paraId="2766A586" w14:textId="77777777" w:rsidTr="00AE0EAB">
        <w:trPr>
          <w:trHeight w:val="1140"/>
        </w:trPr>
        <w:tc>
          <w:tcPr>
            <w:tcW w:w="0" w:type="auto"/>
            <w:vMerge/>
            <w:tcBorders>
              <w:top w:val="nil"/>
              <w:left w:val="single" w:sz="6" w:space="0" w:color="000000"/>
              <w:bottom w:val="single" w:sz="6" w:space="0" w:color="auto"/>
              <w:right w:val="single" w:sz="6" w:space="0" w:color="000000"/>
            </w:tcBorders>
            <w:vAlign w:val="center"/>
            <w:hideMark/>
          </w:tcPr>
          <w:p w14:paraId="3DB3B6DF" w14:textId="77777777" w:rsidR="00AE0EAB" w:rsidRPr="00AE0EAB" w:rsidRDefault="00AE0EAB" w:rsidP="00AE0EAB">
            <w:pPr>
              <w:widowControl/>
              <w:wordWrap w:val="0"/>
              <w:jc w:val="left"/>
              <w:rPr>
                <w:rFonts w:ascii="宋体" w:eastAsia="宋体" w:hAnsi="宋体" w:cs="宋体"/>
                <w:kern w:val="0"/>
                <w:sz w:val="24"/>
                <w:szCs w:val="24"/>
              </w:rPr>
            </w:pPr>
          </w:p>
        </w:tc>
        <w:tc>
          <w:tcPr>
            <w:tcW w:w="7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27B4E79"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7</w:t>
            </w:r>
          </w:p>
        </w:tc>
        <w:tc>
          <w:tcPr>
            <w:tcW w:w="136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F7E3A0B"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低标入院</w:t>
            </w:r>
          </w:p>
        </w:tc>
        <w:tc>
          <w:tcPr>
            <w:tcW w:w="190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88599C6"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数据分析、病例抽检</w:t>
            </w:r>
          </w:p>
        </w:tc>
        <w:tc>
          <w:tcPr>
            <w:tcW w:w="469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86942B4"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主要针对可以经门诊治疗不需住院的病人,该部分病例的病种分值（RW）通常较低,且住院天数较短。实际发生费用低于同级别病例按DIP付费标准≤50%的病例,结合现场病历检查,确定为低标入院的病例。</w:t>
            </w:r>
          </w:p>
        </w:tc>
        <w:tc>
          <w:tcPr>
            <w:tcW w:w="10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930E44F"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8</w:t>
            </w: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3B37A46"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每查实一例扣1分,超过5例此项不得分,并扣减违约分值。</w:t>
            </w:r>
          </w:p>
        </w:tc>
      </w:tr>
      <w:tr w:rsidR="00AE0EAB" w:rsidRPr="00AE0EAB" w14:paraId="46458EED" w14:textId="77777777" w:rsidTr="00AE0EAB">
        <w:trPr>
          <w:trHeight w:val="936"/>
        </w:trPr>
        <w:tc>
          <w:tcPr>
            <w:tcW w:w="0" w:type="auto"/>
            <w:vMerge/>
            <w:tcBorders>
              <w:top w:val="nil"/>
              <w:left w:val="single" w:sz="6" w:space="0" w:color="000000"/>
              <w:bottom w:val="single" w:sz="6" w:space="0" w:color="auto"/>
              <w:right w:val="single" w:sz="6" w:space="0" w:color="000000"/>
            </w:tcBorders>
            <w:vAlign w:val="center"/>
            <w:hideMark/>
          </w:tcPr>
          <w:p w14:paraId="27E8D435" w14:textId="77777777" w:rsidR="00AE0EAB" w:rsidRPr="00AE0EAB" w:rsidRDefault="00AE0EAB" w:rsidP="00AE0EAB">
            <w:pPr>
              <w:widowControl/>
              <w:wordWrap w:val="0"/>
              <w:jc w:val="left"/>
              <w:rPr>
                <w:rFonts w:ascii="宋体" w:eastAsia="宋体" w:hAnsi="宋体" w:cs="宋体"/>
                <w:kern w:val="0"/>
                <w:sz w:val="24"/>
                <w:szCs w:val="24"/>
              </w:rPr>
            </w:pPr>
          </w:p>
        </w:tc>
        <w:tc>
          <w:tcPr>
            <w:tcW w:w="7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A21B685"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8</w:t>
            </w:r>
          </w:p>
        </w:tc>
        <w:tc>
          <w:tcPr>
            <w:tcW w:w="136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A63C7CF"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超长住院</w:t>
            </w:r>
          </w:p>
        </w:tc>
        <w:tc>
          <w:tcPr>
            <w:tcW w:w="190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0F53295"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数据分析、病例抽检</w:t>
            </w:r>
          </w:p>
        </w:tc>
        <w:tc>
          <w:tcPr>
            <w:tcW w:w="469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9A24490"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通过大数据对区域内病种组合的平均住院日进行标化,计算出区域内每病种平均住院日,超出区域内每病种平均住院日1倍及以上的为超长住院病例（康复类等经专家评议特殊病例除外）。</w:t>
            </w:r>
          </w:p>
        </w:tc>
        <w:tc>
          <w:tcPr>
            <w:tcW w:w="10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12D1843"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8</w:t>
            </w: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A0894E9"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每查实一例扣1分,超过5例此项不得分,并扣减违约分值。</w:t>
            </w:r>
          </w:p>
        </w:tc>
      </w:tr>
      <w:tr w:rsidR="00AE0EAB" w:rsidRPr="00AE0EAB" w14:paraId="40441013" w14:textId="77777777" w:rsidTr="00AE0EAB">
        <w:trPr>
          <w:trHeight w:val="1020"/>
        </w:trPr>
        <w:tc>
          <w:tcPr>
            <w:tcW w:w="0" w:type="auto"/>
            <w:vMerge/>
            <w:tcBorders>
              <w:top w:val="nil"/>
              <w:left w:val="single" w:sz="6" w:space="0" w:color="000000"/>
              <w:bottom w:val="single" w:sz="6" w:space="0" w:color="auto"/>
              <w:right w:val="single" w:sz="6" w:space="0" w:color="000000"/>
            </w:tcBorders>
            <w:vAlign w:val="center"/>
            <w:hideMark/>
          </w:tcPr>
          <w:p w14:paraId="75890398" w14:textId="77777777" w:rsidR="00AE0EAB" w:rsidRPr="00AE0EAB" w:rsidRDefault="00AE0EAB" w:rsidP="00AE0EAB">
            <w:pPr>
              <w:widowControl/>
              <w:wordWrap w:val="0"/>
              <w:jc w:val="left"/>
              <w:rPr>
                <w:rFonts w:ascii="宋体" w:eastAsia="宋体" w:hAnsi="宋体" w:cs="宋体"/>
                <w:kern w:val="0"/>
                <w:sz w:val="24"/>
                <w:szCs w:val="24"/>
              </w:rPr>
            </w:pPr>
          </w:p>
        </w:tc>
        <w:tc>
          <w:tcPr>
            <w:tcW w:w="780" w:type="dxa"/>
            <w:tcBorders>
              <w:top w:val="nil"/>
              <w:left w:val="nil"/>
              <w:bottom w:val="single" w:sz="6" w:space="0" w:color="auto"/>
              <w:right w:val="single" w:sz="6" w:space="0" w:color="000000"/>
            </w:tcBorders>
            <w:tcMar>
              <w:top w:w="0" w:type="dxa"/>
              <w:left w:w="105" w:type="dxa"/>
              <w:bottom w:w="0" w:type="dxa"/>
              <w:right w:w="105" w:type="dxa"/>
            </w:tcMar>
            <w:vAlign w:val="center"/>
            <w:hideMark/>
          </w:tcPr>
          <w:p w14:paraId="245BD4D5"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9</w:t>
            </w:r>
          </w:p>
        </w:tc>
        <w:tc>
          <w:tcPr>
            <w:tcW w:w="1365" w:type="dxa"/>
            <w:tcBorders>
              <w:top w:val="nil"/>
              <w:left w:val="nil"/>
              <w:bottom w:val="single" w:sz="6" w:space="0" w:color="auto"/>
              <w:right w:val="single" w:sz="6" w:space="0" w:color="000000"/>
            </w:tcBorders>
            <w:tcMar>
              <w:top w:w="0" w:type="dxa"/>
              <w:left w:w="105" w:type="dxa"/>
              <w:bottom w:w="0" w:type="dxa"/>
              <w:right w:w="105" w:type="dxa"/>
            </w:tcMar>
            <w:vAlign w:val="center"/>
            <w:hideMark/>
          </w:tcPr>
          <w:p w14:paraId="7200B788"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平均住院日</w:t>
            </w:r>
          </w:p>
        </w:tc>
        <w:tc>
          <w:tcPr>
            <w:tcW w:w="1905" w:type="dxa"/>
            <w:tcBorders>
              <w:top w:val="nil"/>
              <w:left w:val="nil"/>
              <w:bottom w:val="single" w:sz="6" w:space="0" w:color="auto"/>
              <w:right w:val="single" w:sz="6" w:space="0" w:color="000000"/>
            </w:tcBorders>
            <w:tcMar>
              <w:top w:w="0" w:type="dxa"/>
              <w:left w:w="105" w:type="dxa"/>
              <w:bottom w:w="0" w:type="dxa"/>
              <w:right w:w="105" w:type="dxa"/>
            </w:tcMar>
            <w:vAlign w:val="center"/>
            <w:hideMark/>
          </w:tcPr>
          <w:p w14:paraId="208DD98A"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数据分析</w:t>
            </w:r>
          </w:p>
        </w:tc>
        <w:tc>
          <w:tcPr>
            <w:tcW w:w="4695" w:type="dxa"/>
            <w:tcBorders>
              <w:top w:val="nil"/>
              <w:left w:val="nil"/>
              <w:bottom w:val="single" w:sz="6" w:space="0" w:color="auto"/>
              <w:right w:val="single" w:sz="6" w:space="0" w:color="000000"/>
            </w:tcBorders>
            <w:tcMar>
              <w:top w:w="0" w:type="dxa"/>
              <w:left w:w="105" w:type="dxa"/>
              <w:bottom w:w="0" w:type="dxa"/>
              <w:right w:w="105" w:type="dxa"/>
            </w:tcMar>
            <w:vAlign w:val="center"/>
            <w:hideMark/>
          </w:tcPr>
          <w:p w14:paraId="7CDF43CB"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按照国家卫健委公立医院考核监测指标,平均住院日控制监测标准以内。</w:t>
            </w:r>
          </w:p>
        </w:tc>
        <w:tc>
          <w:tcPr>
            <w:tcW w:w="1080" w:type="dxa"/>
            <w:tcBorders>
              <w:top w:val="nil"/>
              <w:left w:val="nil"/>
              <w:bottom w:val="single" w:sz="6" w:space="0" w:color="auto"/>
              <w:right w:val="single" w:sz="6" w:space="0" w:color="000000"/>
            </w:tcBorders>
            <w:tcMar>
              <w:top w:w="0" w:type="dxa"/>
              <w:left w:w="105" w:type="dxa"/>
              <w:bottom w:w="0" w:type="dxa"/>
              <w:right w:w="105" w:type="dxa"/>
            </w:tcMar>
            <w:vAlign w:val="center"/>
            <w:hideMark/>
          </w:tcPr>
          <w:p w14:paraId="1C38B996"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6</w:t>
            </w:r>
          </w:p>
        </w:tc>
        <w:tc>
          <w:tcPr>
            <w:tcW w:w="2550" w:type="dxa"/>
            <w:tcBorders>
              <w:top w:val="nil"/>
              <w:left w:val="nil"/>
              <w:bottom w:val="single" w:sz="6" w:space="0" w:color="auto"/>
              <w:right w:val="single" w:sz="6" w:space="0" w:color="000000"/>
            </w:tcBorders>
            <w:tcMar>
              <w:top w:w="0" w:type="dxa"/>
              <w:left w:w="105" w:type="dxa"/>
              <w:bottom w:w="0" w:type="dxa"/>
              <w:right w:w="105" w:type="dxa"/>
            </w:tcMar>
            <w:vAlign w:val="center"/>
            <w:hideMark/>
          </w:tcPr>
          <w:p w14:paraId="47346644"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平均住院日控制在国家监测标准内得6分,每上升0.5天扣1分,扣完为止。</w:t>
            </w:r>
          </w:p>
        </w:tc>
      </w:tr>
      <w:tr w:rsidR="00AE0EAB" w:rsidRPr="00AE0EAB" w14:paraId="4D12B7D6" w14:textId="77777777" w:rsidTr="00AE0EAB">
        <w:trPr>
          <w:trHeight w:val="1080"/>
        </w:trPr>
        <w:tc>
          <w:tcPr>
            <w:tcW w:w="13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E298CC9"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b/>
                <w:bCs/>
                <w:color w:val="000000"/>
                <w:kern w:val="0"/>
                <w:szCs w:val="21"/>
              </w:rPr>
              <w:t>费用控制（10分）</w:t>
            </w:r>
          </w:p>
        </w:tc>
        <w:tc>
          <w:tcPr>
            <w:tcW w:w="7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B0AB35D"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10</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48FE768"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住院病人门诊缴费情形</w:t>
            </w:r>
          </w:p>
        </w:tc>
        <w:tc>
          <w:tcPr>
            <w:tcW w:w="19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FAD348E"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抽查HIS系统门诊数据,与住院结算数据关联</w:t>
            </w:r>
          </w:p>
        </w:tc>
        <w:tc>
          <w:tcPr>
            <w:tcW w:w="4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2C61921"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抽查住院病人在住院期间产生的门诊费用情况。</w:t>
            </w:r>
          </w:p>
        </w:tc>
        <w:tc>
          <w:tcPr>
            <w:tcW w:w="10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4BEF668"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10</w:t>
            </w:r>
          </w:p>
        </w:tc>
        <w:tc>
          <w:tcPr>
            <w:tcW w:w="25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CFFD172"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查实1例扣2分,超过3例此项不得分。</w:t>
            </w:r>
          </w:p>
        </w:tc>
      </w:tr>
      <w:tr w:rsidR="00AE0EAB" w:rsidRPr="00AE0EAB" w14:paraId="01FADF90" w14:textId="77777777" w:rsidTr="00AE0EAB">
        <w:trPr>
          <w:trHeight w:val="1104"/>
        </w:trPr>
        <w:tc>
          <w:tcPr>
            <w:tcW w:w="1365"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2237A23"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b/>
                <w:bCs/>
                <w:color w:val="000000"/>
                <w:kern w:val="0"/>
                <w:szCs w:val="21"/>
              </w:rPr>
              <w:t>患者满意度（20分）</w:t>
            </w:r>
          </w:p>
        </w:tc>
        <w:tc>
          <w:tcPr>
            <w:tcW w:w="7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611720D"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11</w:t>
            </w:r>
          </w:p>
        </w:tc>
        <w:tc>
          <w:tcPr>
            <w:tcW w:w="136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6510E53"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患者满意率</w:t>
            </w:r>
          </w:p>
        </w:tc>
        <w:tc>
          <w:tcPr>
            <w:tcW w:w="190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E9F696F"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现场发放调查问卷</w:t>
            </w:r>
          </w:p>
        </w:tc>
        <w:tc>
          <w:tcPr>
            <w:tcW w:w="469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49C94A6"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调查医疗机构是否推诿患者、是否让住院患者门诊缴费、住院期间是否服务不足等患者对医疗行为和医疗质量的满意度内容（综合满意率=调查中比较满意与满意的人数/调查总人数×100%）。</w:t>
            </w:r>
          </w:p>
        </w:tc>
        <w:tc>
          <w:tcPr>
            <w:tcW w:w="10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5FF8F88"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10</w:t>
            </w: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832051D"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综合满意率≥90%得10分；每降低5%扣1分,扣完为止。</w:t>
            </w:r>
          </w:p>
        </w:tc>
      </w:tr>
      <w:tr w:rsidR="00AE0EAB" w:rsidRPr="00AE0EAB" w14:paraId="0794769C" w14:textId="77777777" w:rsidTr="00AE0EAB">
        <w:trPr>
          <w:trHeight w:val="624"/>
        </w:trPr>
        <w:tc>
          <w:tcPr>
            <w:tcW w:w="0" w:type="auto"/>
            <w:vMerge/>
            <w:tcBorders>
              <w:top w:val="nil"/>
              <w:left w:val="single" w:sz="6" w:space="0" w:color="000000"/>
              <w:bottom w:val="single" w:sz="6" w:space="0" w:color="000000"/>
              <w:right w:val="single" w:sz="6" w:space="0" w:color="000000"/>
            </w:tcBorders>
            <w:vAlign w:val="center"/>
            <w:hideMark/>
          </w:tcPr>
          <w:p w14:paraId="105F495E" w14:textId="77777777" w:rsidR="00AE0EAB" w:rsidRPr="00AE0EAB" w:rsidRDefault="00AE0EAB" w:rsidP="00AE0EAB">
            <w:pPr>
              <w:widowControl/>
              <w:wordWrap w:val="0"/>
              <w:jc w:val="left"/>
              <w:rPr>
                <w:rFonts w:ascii="宋体" w:eastAsia="宋体" w:hAnsi="宋体" w:cs="宋体"/>
                <w:kern w:val="0"/>
                <w:sz w:val="24"/>
                <w:szCs w:val="24"/>
              </w:rPr>
            </w:pPr>
          </w:p>
        </w:tc>
        <w:tc>
          <w:tcPr>
            <w:tcW w:w="7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28E5B84"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12</w:t>
            </w:r>
          </w:p>
        </w:tc>
        <w:tc>
          <w:tcPr>
            <w:tcW w:w="136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A59A28F"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投诉次数</w:t>
            </w:r>
          </w:p>
        </w:tc>
        <w:tc>
          <w:tcPr>
            <w:tcW w:w="190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BBE05FD"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根据投诉处理统计</w:t>
            </w:r>
          </w:p>
        </w:tc>
        <w:tc>
          <w:tcPr>
            <w:tcW w:w="469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3F8A409"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根据医保管理部门接到的信访投诉件数计算。</w:t>
            </w:r>
          </w:p>
        </w:tc>
        <w:tc>
          <w:tcPr>
            <w:tcW w:w="10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4B9C11E"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10</w:t>
            </w:r>
          </w:p>
        </w:tc>
        <w:tc>
          <w:tcPr>
            <w:tcW w:w="25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5325930"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未被投诉得10分；每接到信访投诉并查实1件有效投诉扣1分,扣完为止。</w:t>
            </w:r>
          </w:p>
        </w:tc>
      </w:tr>
      <w:tr w:rsidR="00AE0EAB" w:rsidRPr="00AE0EAB" w14:paraId="54B60908" w14:textId="77777777" w:rsidTr="00AE0EAB">
        <w:trPr>
          <w:trHeight w:val="444"/>
        </w:trPr>
        <w:tc>
          <w:tcPr>
            <w:tcW w:w="1365" w:type="dxa"/>
            <w:tcBorders>
              <w:top w:val="nil"/>
              <w:left w:val="single" w:sz="6" w:space="0" w:color="000000"/>
              <w:bottom w:val="single" w:sz="6" w:space="0" w:color="auto"/>
              <w:right w:val="single" w:sz="6" w:space="0" w:color="000000"/>
            </w:tcBorders>
            <w:tcMar>
              <w:top w:w="0" w:type="dxa"/>
              <w:left w:w="105" w:type="dxa"/>
              <w:bottom w:w="0" w:type="dxa"/>
              <w:right w:w="105" w:type="dxa"/>
            </w:tcMar>
            <w:vAlign w:val="center"/>
            <w:hideMark/>
          </w:tcPr>
          <w:p w14:paraId="6596EEEC"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b/>
                <w:bCs/>
                <w:color w:val="000000"/>
                <w:kern w:val="0"/>
                <w:szCs w:val="21"/>
              </w:rPr>
              <w:t>总计</w:t>
            </w:r>
          </w:p>
        </w:tc>
        <w:tc>
          <w:tcPr>
            <w:tcW w:w="780" w:type="dxa"/>
            <w:tcBorders>
              <w:top w:val="nil"/>
              <w:left w:val="nil"/>
              <w:bottom w:val="single" w:sz="6" w:space="0" w:color="auto"/>
              <w:right w:val="single" w:sz="6" w:space="0" w:color="000000"/>
            </w:tcBorders>
            <w:tcMar>
              <w:top w:w="0" w:type="dxa"/>
              <w:left w:w="105" w:type="dxa"/>
              <w:bottom w:w="0" w:type="dxa"/>
              <w:right w:w="105" w:type="dxa"/>
            </w:tcMar>
            <w:vAlign w:val="center"/>
            <w:hideMark/>
          </w:tcPr>
          <w:p w14:paraId="6A58D309" w14:textId="77777777" w:rsidR="00AE0EAB" w:rsidRPr="00AE0EAB" w:rsidRDefault="00AE0EAB" w:rsidP="00AE0EAB">
            <w:pPr>
              <w:widowControl/>
              <w:wordWrap w:val="0"/>
              <w:jc w:val="left"/>
              <w:rPr>
                <w:rFonts w:ascii="宋体" w:eastAsia="宋体" w:hAnsi="宋体" w:cs="宋体"/>
                <w:kern w:val="0"/>
                <w:sz w:val="24"/>
                <w:szCs w:val="24"/>
              </w:rPr>
            </w:pPr>
          </w:p>
        </w:tc>
        <w:tc>
          <w:tcPr>
            <w:tcW w:w="1365" w:type="dxa"/>
            <w:tcBorders>
              <w:top w:val="nil"/>
              <w:left w:val="nil"/>
              <w:bottom w:val="single" w:sz="6" w:space="0" w:color="auto"/>
              <w:right w:val="single" w:sz="6" w:space="0" w:color="000000"/>
            </w:tcBorders>
            <w:tcMar>
              <w:top w:w="0" w:type="dxa"/>
              <w:left w:w="105" w:type="dxa"/>
              <w:bottom w:w="0" w:type="dxa"/>
              <w:right w:w="105" w:type="dxa"/>
            </w:tcMar>
            <w:vAlign w:val="center"/>
            <w:hideMark/>
          </w:tcPr>
          <w:p w14:paraId="6CA4F169" w14:textId="77777777" w:rsidR="00AE0EAB" w:rsidRPr="00AE0EAB" w:rsidRDefault="00AE0EAB" w:rsidP="00AE0EAB">
            <w:pPr>
              <w:widowControl/>
              <w:wordWrap w:val="0"/>
              <w:jc w:val="left"/>
              <w:rPr>
                <w:rFonts w:ascii="宋体" w:eastAsia="宋体" w:hAnsi="宋体" w:cs="宋体"/>
                <w:kern w:val="0"/>
                <w:sz w:val="24"/>
                <w:szCs w:val="24"/>
              </w:rPr>
            </w:pPr>
          </w:p>
        </w:tc>
        <w:tc>
          <w:tcPr>
            <w:tcW w:w="1905" w:type="dxa"/>
            <w:tcBorders>
              <w:top w:val="nil"/>
              <w:left w:val="nil"/>
              <w:bottom w:val="single" w:sz="6" w:space="0" w:color="auto"/>
              <w:right w:val="single" w:sz="6" w:space="0" w:color="000000"/>
            </w:tcBorders>
            <w:tcMar>
              <w:top w:w="0" w:type="dxa"/>
              <w:left w:w="105" w:type="dxa"/>
              <w:bottom w:w="0" w:type="dxa"/>
              <w:right w:w="105" w:type="dxa"/>
            </w:tcMar>
            <w:vAlign w:val="center"/>
            <w:hideMark/>
          </w:tcPr>
          <w:p w14:paraId="0ECE2DA0" w14:textId="77777777" w:rsidR="00AE0EAB" w:rsidRPr="00AE0EAB" w:rsidRDefault="00AE0EAB" w:rsidP="00AE0EAB">
            <w:pPr>
              <w:widowControl/>
              <w:wordWrap w:val="0"/>
              <w:jc w:val="left"/>
              <w:rPr>
                <w:rFonts w:ascii="宋体" w:eastAsia="宋体" w:hAnsi="宋体" w:cs="宋体"/>
                <w:kern w:val="0"/>
                <w:sz w:val="24"/>
                <w:szCs w:val="24"/>
              </w:rPr>
            </w:pPr>
          </w:p>
        </w:tc>
        <w:tc>
          <w:tcPr>
            <w:tcW w:w="4695" w:type="dxa"/>
            <w:tcBorders>
              <w:top w:val="nil"/>
              <w:left w:val="nil"/>
              <w:bottom w:val="single" w:sz="6" w:space="0" w:color="auto"/>
              <w:right w:val="single" w:sz="6" w:space="0" w:color="000000"/>
            </w:tcBorders>
            <w:tcMar>
              <w:top w:w="0" w:type="dxa"/>
              <w:left w:w="105" w:type="dxa"/>
              <w:bottom w:w="0" w:type="dxa"/>
              <w:right w:w="105" w:type="dxa"/>
            </w:tcMar>
            <w:vAlign w:val="center"/>
            <w:hideMark/>
          </w:tcPr>
          <w:p w14:paraId="16B91CEF" w14:textId="77777777" w:rsidR="00AE0EAB" w:rsidRPr="00AE0EAB" w:rsidRDefault="00AE0EAB" w:rsidP="00AE0EAB">
            <w:pPr>
              <w:widowControl/>
              <w:wordWrap w:val="0"/>
              <w:jc w:val="left"/>
              <w:rPr>
                <w:rFonts w:ascii="宋体" w:eastAsia="宋体" w:hAnsi="宋体" w:cs="宋体"/>
                <w:kern w:val="0"/>
                <w:sz w:val="24"/>
                <w:szCs w:val="24"/>
              </w:rPr>
            </w:pPr>
          </w:p>
        </w:tc>
        <w:tc>
          <w:tcPr>
            <w:tcW w:w="1080" w:type="dxa"/>
            <w:tcBorders>
              <w:top w:val="nil"/>
              <w:left w:val="nil"/>
              <w:bottom w:val="single" w:sz="6" w:space="0" w:color="auto"/>
              <w:right w:val="single" w:sz="6" w:space="0" w:color="000000"/>
            </w:tcBorders>
            <w:tcMar>
              <w:top w:w="0" w:type="dxa"/>
              <w:left w:w="105" w:type="dxa"/>
              <w:bottom w:w="0" w:type="dxa"/>
              <w:right w:w="105" w:type="dxa"/>
            </w:tcMar>
            <w:vAlign w:val="center"/>
            <w:hideMark/>
          </w:tcPr>
          <w:p w14:paraId="5697AD14"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b/>
                <w:bCs/>
                <w:color w:val="000000"/>
                <w:kern w:val="0"/>
                <w:szCs w:val="21"/>
              </w:rPr>
              <w:t>100</w:t>
            </w:r>
          </w:p>
        </w:tc>
        <w:tc>
          <w:tcPr>
            <w:tcW w:w="2550" w:type="dxa"/>
            <w:tcBorders>
              <w:top w:val="nil"/>
              <w:left w:val="nil"/>
              <w:bottom w:val="single" w:sz="6" w:space="0" w:color="auto"/>
              <w:right w:val="single" w:sz="6" w:space="0" w:color="000000"/>
            </w:tcBorders>
            <w:tcMar>
              <w:top w:w="0" w:type="dxa"/>
              <w:left w:w="105" w:type="dxa"/>
              <w:bottom w:w="0" w:type="dxa"/>
              <w:right w:w="105" w:type="dxa"/>
            </w:tcMar>
            <w:vAlign w:val="center"/>
            <w:hideMark/>
          </w:tcPr>
          <w:p w14:paraId="13D7B135" w14:textId="77777777" w:rsidR="00AE0EAB" w:rsidRPr="00AE0EAB" w:rsidRDefault="00AE0EAB" w:rsidP="00AE0EAB">
            <w:pPr>
              <w:widowControl/>
              <w:wordWrap w:val="0"/>
              <w:jc w:val="left"/>
              <w:rPr>
                <w:rFonts w:ascii="宋体" w:eastAsia="宋体" w:hAnsi="宋体" w:cs="宋体"/>
                <w:kern w:val="0"/>
                <w:sz w:val="24"/>
                <w:szCs w:val="24"/>
              </w:rPr>
            </w:pPr>
          </w:p>
        </w:tc>
      </w:tr>
      <w:tr w:rsidR="00AE0EAB" w:rsidRPr="00AE0EAB" w14:paraId="004BBE29" w14:textId="77777777" w:rsidTr="00AE0EAB">
        <w:trPr>
          <w:trHeight w:val="432"/>
        </w:trPr>
        <w:tc>
          <w:tcPr>
            <w:tcW w:w="136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6855C62"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b/>
                <w:bCs/>
                <w:color w:val="000000"/>
                <w:kern w:val="0"/>
                <w:szCs w:val="21"/>
              </w:rPr>
              <w:t>加分项（10分）</w:t>
            </w:r>
          </w:p>
        </w:tc>
        <w:tc>
          <w:tcPr>
            <w:tcW w:w="7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5360BB2"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1</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56B7B51"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CMI值</w:t>
            </w:r>
          </w:p>
        </w:tc>
        <w:tc>
          <w:tcPr>
            <w:tcW w:w="19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7668920"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根据系统统计数据</w:t>
            </w:r>
          </w:p>
        </w:tc>
        <w:tc>
          <w:tcPr>
            <w:tcW w:w="4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3A75B08"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医疗机构期内CMI指数与上年度同期比较（CMI指数=医疗机构总分值/医疗机构总病例数）。</w:t>
            </w:r>
          </w:p>
        </w:tc>
        <w:tc>
          <w:tcPr>
            <w:tcW w:w="10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65C038B"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4</w:t>
            </w:r>
          </w:p>
        </w:tc>
        <w:tc>
          <w:tcPr>
            <w:tcW w:w="25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300C9D4"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不低于上年度同期得2分,每上升0.05,加1分</w:t>
            </w:r>
          </w:p>
        </w:tc>
      </w:tr>
      <w:tr w:rsidR="00AE0EAB" w:rsidRPr="00AE0EAB" w14:paraId="36313414" w14:textId="77777777" w:rsidTr="00AE0EAB">
        <w:trPr>
          <w:trHeight w:val="480"/>
        </w:trPr>
        <w:tc>
          <w:tcPr>
            <w:tcW w:w="0" w:type="auto"/>
            <w:vMerge/>
            <w:tcBorders>
              <w:top w:val="nil"/>
              <w:left w:val="single" w:sz="6" w:space="0" w:color="auto"/>
              <w:bottom w:val="single" w:sz="6" w:space="0" w:color="auto"/>
              <w:right w:val="single" w:sz="6" w:space="0" w:color="auto"/>
            </w:tcBorders>
            <w:vAlign w:val="center"/>
            <w:hideMark/>
          </w:tcPr>
          <w:p w14:paraId="74CACCFC" w14:textId="77777777" w:rsidR="00AE0EAB" w:rsidRPr="00AE0EAB" w:rsidRDefault="00AE0EAB" w:rsidP="00AE0EAB">
            <w:pPr>
              <w:widowControl/>
              <w:wordWrap w:val="0"/>
              <w:jc w:val="left"/>
              <w:rPr>
                <w:rFonts w:ascii="宋体" w:eastAsia="宋体" w:hAnsi="宋体" w:cs="宋体"/>
                <w:kern w:val="0"/>
                <w:sz w:val="24"/>
                <w:szCs w:val="24"/>
              </w:rPr>
            </w:pPr>
          </w:p>
        </w:tc>
        <w:tc>
          <w:tcPr>
            <w:tcW w:w="7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326D231"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2</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35A6038"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病案首页合规性</w:t>
            </w:r>
          </w:p>
        </w:tc>
        <w:tc>
          <w:tcPr>
            <w:tcW w:w="19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D2A0395"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数据分析、病例抽检</w:t>
            </w:r>
          </w:p>
        </w:tc>
        <w:tc>
          <w:tcPr>
            <w:tcW w:w="4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FD850A8"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病例中没有发生诊断手术与基础信息（如年龄、性别、出生体重）不符、诊断冲突、手术冲突、诊断与手术不一致等。</w:t>
            </w:r>
          </w:p>
        </w:tc>
        <w:tc>
          <w:tcPr>
            <w:tcW w:w="10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89B1B98"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3</w:t>
            </w:r>
          </w:p>
        </w:tc>
        <w:tc>
          <w:tcPr>
            <w:tcW w:w="25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17E528A"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抽查病例中合规性病例达90%以上的得1分,每上升1%加1分。</w:t>
            </w:r>
          </w:p>
        </w:tc>
      </w:tr>
      <w:tr w:rsidR="00AE0EAB" w:rsidRPr="00AE0EAB" w14:paraId="54A1180E" w14:textId="77777777" w:rsidTr="00AE0EAB">
        <w:trPr>
          <w:trHeight w:val="480"/>
        </w:trPr>
        <w:tc>
          <w:tcPr>
            <w:tcW w:w="0" w:type="auto"/>
            <w:vMerge/>
            <w:tcBorders>
              <w:top w:val="nil"/>
              <w:left w:val="single" w:sz="6" w:space="0" w:color="auto"/>
              <w:bottom w:val="single" w:sz="6" w:space="0" w:color="auto"/>
              <w:right w:val="single" w:sz="6" w:space="0" w:color="auto"/>
            </w:tcBorders>
            <w:vAlign w:val="center"/>
            <w:hideMark/>
          </w:tcPr>
          <w:p w14:paraId="18A7A2BC" w14:textId="77777777" w:rsidR="00AE0EAB" w:rsidRPr="00AE0EAB" w:rsidRDefault="00AE0EAB" w:rsidP="00AE0EAB">
            <w:pPr>
              <w:widowControl/>
              <w:wordWrap w:val="0"/>
              <w:jc w:val="left"/>
              <w:rPr>
                <w:rFonts w:ascii="宋体" w:eastAsia="宋体" w:hAnsi="宋体" w:cs="宋体"/>
                <w:kern w:val="0"/>
                <w:sz w:val="24"/>
                <w:szCs w:val="24"/>
              </w:rPr>
            </w:pPr>
          </w:p>
        </w:tc>
        <w:tc>
          <w:tcPr>
            <w:tcW w:w="7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21AB400"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3</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5785C90"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院内组织DIP相关培训</w:t>
            </w:r>
          </w:p>
        </w:tc>
        <w:tc>
          <w:tcPr>
            <w:tcW w:w="19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583BDD3"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现场查看医院资料</w:t>
            </w:r>
          </w:p>
        </w:tc>
        <w:tc>
          <w:tcPr>
            <w:tcW w:w="4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A164CB9"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积极支持DIP支付方式改革,组织院内DIP培训工作。</w:t>
            </w:r>
          </w:p>
        </w:tc>
        <w:tc>
          <w:tcPr>
            <w:tcW w:w="10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48A45D4"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3</w:t>
            </w:r>
          </w:p>
        </w:tc>
        <w:tc>
          <w:tcPr>
            <w:tcW w:w="25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7A589B7" w14:textId="77777777" w:rsidR="00AE0EAB" w:rsidRPr="00AE0EAB" w:rsidRDefault="00AE0EAB" w:rsidP="00AE0EAB">
            <w:pPr>
              <w:widowControl/>
              <w:wordWrap w:val="0"/>
              <w:spacing w:line="360" w:lineRule="atLeast"/>
              <w:jc w:val="center"/>
              <w:textAlignment w:val="center"/>
              <w:rPr>
                <w:rFonts w:ascii="宋体" w:eastAsia="宋体" w:hAnsi="宋体" w:cs="宋体"/>
                <w:kern w:val="0"/>
                <w:sz w:val="24"/>
                <w:szCs w:val="24"/>
              </w:rPr>
            </w:pPr>
            <w:r w:rsidRPr="00AE0EAB">
              <w:rPr>
                <w:rFonts w:ascii="仿宋_GB2312" w:eastAsia="仿宋_GB2312" w:hAnsi="宋体" w:cs="宋体" w:hint="eastAsia"/>
                <w:color w:val="000000"/>
                <w:kern w:val="0"/>
                <w:szCs w:val="21"/>
              </w:rPr>
              <w:t>每举办1次得0.5分。</w:t>
            </w:r>
          </w:p>
        </w:tc>
      </w:tr>
    </w:tbl>
    <w:p w14:paraId="44BDB4EE" w14:textId="77777777" w:rsidR="00FF070D" w:rsidRDefault="00FF070D"/>
    <w:sectPr w:rsidR="00FF07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32F"/>
    <w:rsid w:val="00AE0EAB"/>
    <w:rsid w:val="00D2032F"/>
    <w:rsid w:val="00FF070D"/>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2DC62-8D63-4182-BE1F-5EDAA09B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32"/>
        <w:lang w:val="en-US" w:eastAsia="zh-CN" w:bidi="bo-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AE0EAB"/>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AE0EA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AE0EAB"/>
    <w:rPr>
      <w:rFonts w:ascii="宋体" w:eastAsia="宋体" w:hAnsi="宋体" w:cs="宋体"/>
      <w:b/>
      <w:bCs/>
      <w:kern w:val="0"/>
      <w:sz w:val="36"/>
      <w:szCs w:val="36"/>
    </w:rPr>
  </w:style>
  <w:style w:type="character" w:customStyle="1" w:styleId="30">
    <w:name w:val="标题 3 字符"/>
    <w:basedOn w:val="a0"/>
    <w:link w:val="3"/>
    <w:uiPriority w:val="9"/>
    <w:rsid w:val="00AE0EAB"/>
    <w:rPr>
      <w:rFonts w:ascii="宋体" w:eastAsia="宋体" w:hAnsi="宋体" w:cs="宋体"/>
      <w:b/>
      <w:bCs/>
      <w:kern w:val="0"/>
      <w:sz w:val="27"/>
      <w:szCs w:val="27"/>
    </w:rPr>
  </w:style>
  <w:style w:type="paragraph" w:styleId="a3">
    <w:name w:val="Normal (Web)"/>
    <w:basedOn w:val="a"/>
    <w:uiPriority w:val="99"/>
    <w:semiHidden/>
    <w:unhideWhenUsed/>
    <w:rsid w:val="00AE0EAB"/>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AE0EA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AE0E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382546">
      <w:bodyDiv w:val="1"/>
      <w:marLeft w:val="0"/>
      <w:marRight w:val="0"/>
      <w:marTop w:val="0"/>
      <w:marBottom w:val="0"/>
      <w:divBdr>
        <w:top w:val="none" w:sz="0" w:space="0" w:color="auto"/>
        <w:left w:val="none" w:sz="0" w:space="0" w:color="auto"/>
        <w:bottom w:val="none" w:sz="0" w:space="0" w:color="auto"/>
        <w:right w:val="none" w:sz="0" w:space="0" w:color="auto"/>
      </w:divBdr>
      <w:divsChild>
        <w:div w:id="1490749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3027</Characters>
  <Application>Microsoft Office Word</Application>
  <DocSecurity>0</DocSecurity>
  <Lines>25</Lines>
  <Paragraphs>7</Paragraphs>
  <ScaleCrop>false</ScaleCrop>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热朗加</dc:creator>
  <cp:keywords/>
  <dc:description/>
  <cp:lastModifiedBy>热朗加</cp:lastModifiedBy>
  <cp:revision>3</cp:revision>
  <dcterms:created xsi:type="dcterms:W3CDTF">2022-01-17T09:03:00Z</dcterms:created>
  <dcterms:modified xsi:type="dcterms:W3CDTF">2022-01-17T09:03:00Z</dcterms:modified>
</cp:coreProperties>
</file>