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湖北省药品监督管理局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药品GMP符合性检查结果通知书</w:t>
      </w:r>
    </w:p>
    <w:p>
      <w:pPr>
        <w:spacing w:before="156" w:beforeLines="50" w:line="560" w:lineRule="exact"/>
        <w:ind w:right="-483" w:rightChars="-230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</w:t>
      </w:r>
      <w:r>
        <w:rPr>
          <w:rFonts w:ascii="方正仿宋_GBK" w:eastAsia="方正仿宋_GBK"/>
          <w:sz w:val="30"/>
          <w:szCs w:val="30"/>
        </w:rPr>
        <w:t xml:space="preserve">         编号</w:t>
      </w:r>
      <w:r>
        <w:rPr>
          <w:rFonts w:hint="eastAsia" w:ascii="方正仿宋_GBK" w:eastAsia="方正仿宋_GBK"/>
          <w:sz w:val="30"/>
          <w:szCs w:val="30"/>
        </w:rPr>
        <w:t>：</w:t>
      </w:r>
      <w:r>
        <w:rPr>
          <w:rFonts w:ascii="方正仿宋_GBK" w:eastAsia="方正仿宋_GBK"/>
          <w:sz w:val="30"/>
          <w:szCs w:val="30"/>
        </w:rPr>
        <w:t xml:space="preserve"> 鄂</w:t>
      </w:r>
      <w:r>
        <w:rPr>
          <w:rFonts w:hint="eastAsia" w:ascii="方正仿宋_GBK" w:eastAsia="方正仿宋_GBK"/>
          <w:sz w:val="30"/>
          <w:szCs w:val="30"/>
        </w:rPr>
        <w:t>G</w:t>
      </w:r>
      <w:r>
        <w:rPr>
          <w:rFonts w:ascii="方正仿宋_GBK" w:eastAsia="方正仿宋_GBK"/>
          <w:sz w:val="30"/>
          <w:szCs w:val="30"/>
        </w:rPr>
        <w:t>MPXXXX（年份）-XX（顺序号）号</w:t>
      </w:r>
    </w:p>
    <w:tbl>
      <w:tblPr>
        <w:tblStyle w:val="2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6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 w:eastAsia="方正仿宋_GBK"/>
                <w:spacing w:val="-3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pacing w:val="-30"/>
                <w:sz w:val="30"/>
                <w:szCs w:val="30"/>
              </w:rPr>
              <w:t>（药品上市许可持有人/药品生产企业）名称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pacing w:val="-2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检查范围/</w:t>
            </w:r>
            <w:r>
              <w:rPr>
                <w:rFonts w:ascii="方正仿宋_GBK" w:hAnsi="Calibri" w:eastAsia="方正仿宋_GBK"/>
                <w:sz w:val="30"/>
                <w:szCs w:val="30"/>
              </w:rPr>
              <w:t>品种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Calibri" w:eastAsia="方正仿宋_GBK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检查场地地址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Calibri" w:eastAsia="方正仿宋_GBK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pacing w:val="-2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pacing w:val="-20"/>
                <w:sz w:val="30"/>
                <w:szCs w:val="30"/>
              </w:rPr>
              <w:t>检查生产车间/线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Calibri" w:eastAsia="方正仿宋_GBK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检查时间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检查结论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20" w:lineRule="exact"/>
              <w:ind w:firstLine="600" w:firstLineChars="200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经审核，本次药品GMP符合性检查（符合/不符合）《药品生产质量管理规范》（2010年修订）要求，</w:t>
            </w:r>
            <w:r>
              <w:rPr>
                <w:rFonts w:ascii="方正仿宋_GBK" w:hAnsi="Calibri" w:eastAsia="方正仿宋_GBK"/>
                <w:sz w:val="30"/>
                <w:szCs w:val="30"/>
              </w:rPr>
              <w:t>现将检查结果予以告知。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主送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抄送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备注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spacing w:val="-20"/>
                <w:sz w:val="30"/>
                <w:szCs w:val="30"/>
              </w:rPr>
            </w:pPr>
          </w:p>
        </w:tc>
      </w:tr>
    </w:tbl>
    <w:p>
      <w:pPr>
        <w:spacing w:before="624" w:beforeLines="200"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</w:t>
      </w:r>
      <w:r>
        <w:rPr>
          <w:rFonts w:hint="eastAsia" w:ascii="方正仿宋_GBK" w:eastAsia="方正仿宋_GBK"/>
          <w:sz w:val="32"/>
          <w:szCs w:val="32"/>
        </w:rPr>
        <w:t>湖北省药品监督管理局</w:t>
      </w:r>
    </w:p>
    <w:p>
      <w:pPr>
        <w:spacing w:line="560" w:lineRule="exact"/>
        <w:jc w:val="center"/>
      </w:pPr>
      <w:r>
        <w:rPr>
          <w:rFonts w:ascii="方正仿宋_GBK" w:eastAsia="方正仿宋_GBK"/>
          <w:sz w:val="32"/>
          <w:szCs w:val="32"/>
        </w:rPr>
        <w:t xml:space="preserve">                    年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2626"/>
    <w:rsid w:val="0E2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2022-01-13T07:42:40Z</dcterms:created>
  <dc:creator>Administrator</dc:creator>
  <cp:lastModifiedBy>Administrator</cp:lastModifiedBy>
  <dcterms:modified xsi:type="dcterms:W3CDTF">2022-01-13T07:43:32Z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67DF6A01CAFA4ABF9BC3D62352144B7E</vt:lpwstr>
  </property>
</Properties>
</file>