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0675" w14:textId="77777777" w:rsidR="006F056C" w:rsidRDefault="006F056C" w:rsidP="006F056C">
      <w:pPr>
        <w:spacing w:before="101" w:line="224" w:lineRule="auto"/>
        <w:ind w:firstLine="16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pacing w:val="-11"/>
          <w:sz w:val="31"/>
          <w:szCs w:val="31"/>
        </w:rPr>
        <w:t>附</w:t>
      </w:r>
      <w:r>
        <w:rPr>
          <w:rFonts w:ascii="黑体" w:eastAsia="黑体" w:hAnsi="黑体" w:cs="黑体"/>
          <w:color w:val="231F20"/>
          <w:spacing w:val="-10"/>
          <w:sz w:val="31"/>
          <w:szCs w:val="31"/>
        </w:rPr>
        <w:t>件</w:t>
      </w:r>
      <w:r>
        <w:rPr>
          <w:rFonts w:ascii="黑体" w:eastAsia="黑体" w:hAnsi="黑体" w:cs="黑体"/>
          <w:color w:val="231F20"/>
          <w:spacing w:val="-71"/>
          <w:sz w:val="31"/>
          <w:szCs w:val="31"/>
        </w:rPr>
        <w:t xml:space="preserve"> </w:t>
      </w:r>
      <w:r>
        <w:rPr>
          <w:rFonts w:ascii="黑体" w:eastAsia="黑体" w:hAnsi="黑体" w:cs="黑体"/>
          <w:color w:val="231F20"/>
          <w:spacing w:val="-5"/>
          <w:sz w:val="31"/>
          <w:szCs w:val="31"/>
        </w:rPr>
        <w:t>1</w:t>
      </w:r>
    </w:p>
    <w:p w14:paraId="642B7F08" w14:textId="77777777" w:rsidR="006F056C" w:rsidRDefault="006F056C" w:rsidP="006F056C">
      <w:pPr>
        <w:spacing w:line="286" w:lineRule="auto"/>
      </w:pPr>
    </w:p>
    <w:p w14:paraId="73B54F83" w14:textId="77777777" w:rsidR="006F056C" w:rsidRDefault="006F056C" w:rsidP="006F056C">
      <w:pPr>
        <w:spacing w:line="287" w:lineRule="auto"/>
      </w:pPr>
    </w:p>
    <w:p w14:paraId="0DB84D3A" w14:textId="77777777" w:rsidR="006F056C" w:rsidRDefault="006F056C" w:rsidP="006F056C">
      <w:pPr>
        <w:spacing w:before="150"/>
        <w:ind w:firstLine="1861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9"/>
          <w:sz w:val="35"/>
          <w:szCs w:val="35"/>
        </w:rPr>
        <w:t>贵州省保健用品卫生许可审批事</w:t>
      </w:r>
      <w:r>
        <w:rPr>
          <w:rFonts w:ascii="微软雅黑" w:eastAsia="微软雅黑" w:hAnsi="微软雅黑" w:cs="微软雅黑"/>
          <w:color w:val="231F20"/>
          <w:spacing w:val="8"/>
          <w:sz w:val="35"/>
          <w:szCs w:val="35"/>
        </w:rPr>
        <w:t>项</w:t>
      </w:r>
    </w:p>
    <w:p w14:paraId="72776EA0" w14:textId="77777777" w:rsidR="006F056C" w:rsidRDefault="006F056C" w:rsidP="006F056C">
      <w:pPr>
        <w:spacing w:line="213" w:lineRule="auto"/>
        <w:ind w:firstLine="2773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color w:val="231F20"/>
          <w:spacing w:val="-11"/>
          <w:sz w:val="35"/>
          <w:szCs w:val="35"/>
        </w:rPr>
        <w:t>“证照分离”实</w:t>
      </w:r>
      <w:r>
        <w:rPr>
          <w:rFonts w:ascii="微软雅黑" w:eastAsia="微软雅黑" w:hAnsi="微软雅黑" w:cs="微软雅黑"/>
          <w:color w:val="231F20"/>
          <w:spacing w:val="-10"/>
          <w:sz w:val="35"/>
          <w:szCs w:val="35"/>
        </w:rPr>
        <w:t>施方案</w:t>
      </w:r>
    </w:p>
    <w:p w14:paraId="6ADBF80B" w14:textId="77777777" w:rsidR="006F056C" w:rsidRDefault="006F056C" w:rsidP="006F056C">
      <w:pPr>
        <w:spacing w:line="299" w:lineRule="auto"/>
      </w:pPr>
    </w:p>
    <w:p w14:paraId="13C7AB05" w14:textId="77777777" w:rsidR="006F056C" w:rsidRDefault="006F056C" w:rsidP="006F056C">
      <w:pPr>
        <w:spacing w:line="299" w:lineRule="auto"/>
      </w:pPr>
    </w:p>
    <w:p w14:paraId="6DF89D61" w14:textId="77777777" w:rsidR="006F056C" w:rsidRDefault="006F056C" w:rsidP="006F056C">
      <w:pPr>
        <w:spacing w:before="101" w:line="353" w:lineRule="auto"/>
        <w:ind w:right="110" w:firstLine="62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《省人民政府关于印发贵州省深化“证照分离”改革实施方案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通知》（黔府发〔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2021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color w:val="231F20"/>
          <w:spacing w:val="-6"/>
          <w:sz w:val="31"/>
          <w:szCs w:val="31"/>
        </w:rPr>
        <w:t>6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号</w:t>
      </w:r>
      <w:r>
        <w:rPr>
          <w:rFonts w:ascii="仿宋" w:eastAsia="仿宋" w:hAnsi="仿宋" w:cs="仿宋"/>
          <w:color w:val="231F20"/>
          <w:spacing w:val="-167"/>
          <w:sz w:val="31"/>
          <w:szCs w:val="31"/>
        </w:rPr>
        <w:t>）</w:t>
      </w:r>
      <w:r>
        <w:rPr>
          <w:rFonts w:ascii="仿宋" w:eastAsia="仿宋" w:hAnsi="仿宋" w:cs="仿宋"/>
          <w:color w:val="231F20"/>
          <w:spacing w:val="-11"/>
          <w:sz w:val="31"/>
          <w:szCs w:val="31"/>
        </w:rPr>
        <w:t>明确将“保健用品卫生</w:t>
      </w:r>
      <w:r>
        <w:rPr>
          <w:rFonts w:ascii="仿宋" w:eastAsia="仿宋" w:hAnsi="仿宋" w:cs="仿宋"/>
          <w:color w:val="231F20"/>
          <w:spacing w:val="-10"/>
          <w:sz w:val="31"/>
          <w:szCs w:val="31"/>
        </w:rPr>
        <w:t>许可”事项纳入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3"/>
          <w:sz w:val="31"/>
          <w:szCs w:val="31"/>
        </w:rPr>
        <w:t>地方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层面设定的涉企经营许可事项改革清单</w:t>
      </w:r>
      <w:r>
        <w:rPr>
          <w:rFonts w:ascii="仿宋" w:eastAsia="仿宋" w:hAnsi="仿宋" w:cs="仿宋"/>
          <w:color w:val="231F20"/>
          <w:spacing w:val="2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为全面贯彻落实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“证照分离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z w:val="31"/>
          <w:szCs w:val="31"/>
        </w:rPr>
        <w:t>”改革工作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特制定“保健用品卫生许可 ”事项实施 </w:t>
      </w:r>
      <w:r>
        <w:rPr>
          <w:rFonts w:ascii="仿宋" w:eastAsia="仿宋" w:hAnsi="仿宋" w:cs="仿宋"/>
          <w:color w:val="231F20"/>
          <w:spacing w:val="45"/>
          <w:sz w:val="31"/>
          <w:szCs w:val="31"/>
        </w:rPr>
        <w:t>方案</w:t>
      </w:r>
      <w:r>
        <w:rPr>
          <w:rFonts w:ascii="仿宋" w:eastAsia="仿宋" w:hAnsi="仿宋" w:cs="仿宋"/>
          <w:color w:val="231F20"/>
          <w:spacing w:val="66"/>
          <w:sz w:val="31"/>
          <w:szCs w:val="31"/>
        </w:rPr>
        <w:t>。</w:t>
      </w:r>
    </w:p>
    <w:p w14:paraId="75BA85C6" w14:textId="77777777" w:rsidR="006F056C" w:rsidRDefault="006F056C" w:rsidP="006F056C">
      <w:pPr>
        <w:spacing w:line="232" w:lineRule="auto"/>
        <w:ind w:firstLine="78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一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总体要求</w:t>
      </w:r>
    </w:p>
    <w:p w14:paraId="0FAB00BB" w14:textId="77777777" w:rsidR="006F056C" w:rsidRDefault="006F056C" w:rsidP="006F056C">
      <w:pPr>
        <w:spacing w:before="198" w:line="353" w:lineRule="auto"/>
        <w:ind w:left="138" w:right="110" w:firstLine="50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“证照分离”改革是党中央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国务院作出的重要决策部署</w:t>
      </w:r>
      <w:r>
        <w:rPr>
          <w:rFonts w:ascii="仿宋" w:eastAsia="仿宋" w:hAnsi="仿宋" w:cs="仿宋"/>
          <w:color w:val="231F20"/>
          <w:spacing w:val="-2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是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行政审批制度改革的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关键环节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是“放管服”改革的重要组成部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分。全面优化延续、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变更保健用品卫生许可事项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进一步完善保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健用品审批工作，有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效降低制度性交易成本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使企业办证更加便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捷高效，加快营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造稳定公平透明的营商环境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。</w:t>
      </w:r>
    </w:p>
    <w:p w14:paraId="2E47CCE4" w14:textId="77777777" w:rsidR="006F056C" w:rsidRDefault="006F056C" w:rsidP="006F056C">
      <w:pPr>
        <w:spacing w:before="2" w:line="241" w:lineRule="auto"/>
        <w:ind w:firstLine="78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二</w:t>
      </w:r>
      <w:r>
        <w:rPr>
          <w:rFonts w:ascii="黑体" w:eastAsia="黑体" w:hAnsi="黑体" w:cs="黑体"/>
          <w:color w:val="231F20"/>
          <w:spacing w:val="-124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改革任务</w:t>
      </w:r>
    </w:p>
    <w:p w14:paraId="138C2132" w14:textId="77777777" w:rsidR="006F056C" w:rsidRDefault="006F056C" w:rsidP="006F056C">
      <w:pPr>
        <w:spacing w:before="183" w:line="353" w:lineRule="auto"/>
        <w:ind w:left="151" w:right="110" w:firstLine="50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20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减少申请材料</w:t>
      </w:r>
      <w:r>
        <w:rPr>
          <w:rFonts w:ascii="楷体" w:eastAsia="楷体" w:hAnsi="楷体" w:cs="楷体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精简延续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变更保健用品卫生许可事项 申请材料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申请人在申请延续</w:t>
      </w:r>
      <w:r>
        <w:rPr>
          <w:rFonts w:ascii="仿宋" w:eastAsia="仿宋" w:hAnsi="仿宋" w:cs="仿宋"/>
          <w:color w:val="231F20"/>
          <w:spacing w:val="-58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变更保健用品卫生许可事项时</w:t>
      </w:r>
      <w:r>
        <w:rPr>
          <w:rFonts w:ascii="仿宋" w:eastAsia="仿宋" w:hAnsi="仿宋" w:cs="仿宋"/>
          <w:color w:val="231F20"/>
          <w:spacing w:val="-5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不 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再提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交产品采样文书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产品检验报告二项资料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。</w:t>
      </w:r>
    </w:p>
    <w:p w14:paraId="01E230E4" w14:textId="77777777" w:rsidR="006F056C" w:rsidRDefault="006F056C" w:rsidP="006F056C">
      <w:pPr>
        <w:spacing w:before="1" w:line="360" w:lineRule="auto"/>
        <w:ind w:left="164" w:firstLine="493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（二</w:t>
      </w:r>
      <w:r>
        <w:rPr>
          <w:rFonts w:ascii="楷体" w:eastAsia="楷体" w:hAnsi="楷体" w:cs="楷体"/>
          <w:color w:val="231F20"/>
          <w:spacing w:val="-52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优化审批流程</w:t>
      </w:r>
      <w:r>
        <w:rPr>
          <w:rFonts w:ascii="楷体" w:eastAsia="楷体" w:hAnsi="楷体" w:cs="楷体"/>
          <w:color w:val="231F20"/>
          <w:spacing w:val="-52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坚持改革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以优化服务为核心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将延续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变更保健用品卫生许可事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项纳入全省通办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方便企业就近就地进</w:t>
      </w:r>
    </w:p>
    <w:p w14:paraId="5D7A575E" w14:textId="77777777" w:rsidR="006F056C" w:rsidRDefault="006F056C" w:rsidP="006F056C">
      <w:pPr>
        <w:sectPr w:rsidR="006F056C">
          <w:footerReference w:type="default" r:id="rId4"/>
          <w:pgSz w:w="11906" w:h="16838"/>
          <w:pgMar w:top="1431" w:right="1423" w:bottom="1606" w:left="1402" w:header="0" w:footer="1331" w:gutter="0"/>
          <w:cols w:space="720"/>
        </w:sectPr>
      </w:pPr>
    </w:p>
    <w:p w14:paraId="3976A85D" w14:textId="77777777" w:rsidR="006F056C" w:rsidRDefault="006F056C" w:rsidP="006F056C">
      <w:pPr>
        <w:spacing w:line="254" w:lineRule="auto"/>
      </w:pPr>
    </w:p>
    <w:p w14:paraId="1825C1E4" w14:textId="77777777" w:rsidR="006F056C" w:rsidRDefault="006F056C" w:rsidP="006F056C">
      <w:pPr>
        <w:spacing w:line="254" w:lineRule="auto"/>
      </w:pPr>
    </w:p>
    <w:p w14:paraId="7B8C13F4" w14:textId="77777777" w:rsidR="006F056C" w:rsidRDefault="006F056C" w:rsidP="006F056C">
      <w:pPr>
        <w:spacing w:before="101" w:line="218" w:lineRule="auto"/>
        <w:ind w:firstLine="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color w:val="231F20"/>
          <w:sz w:val="31"/>
          <w:szCs w:val="31"/>
        </w:rPr>
        <w:t>行申请许可</w:t>
      </w:r>
      <w:r>
        <w:rPr>
          <w:rFonts w:ascii="仿宋" w:eastAsia="仿宋" w:hAnsi="仿宋" w:cs="仿宋"/>
          <w:color w:val="231F20"/>
          <w:spacing w:val="-8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真正实现企业“零跑腿”</w:t>
      </w:r>
      <w:r>
        <w:rPr>
          <w:rFonts w:ascii="仿宋" w:eastAsia="仿宋" w:hAnsi="仿宋" w:cs="仿宋"/>
          <w:color w:val="231F20"/>
          <w:spacing w:val="-80"/>
          <w:sz w:val="31"/>
          <w:szCs w:val="31"/>
        </w:rPr>
        <w:t>。</w:t>
      </w:r>
    </w:p>
    <w:p w14:paraId="47E66676" w14:textId="77777777" w:rsidR="006F056C" w:rsidRDefault="006F056C" w:rsidP="006F056C">
      <w:pPr>
        <w:spacing w:before="223" w:line="353" w:lineRule="auto"/>
        <w:ind w:left="14" w:right="101" w:firstLine="508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pacing w:val="4"/>
          <w:sz w:val="31"/>
          <w:szCs w:val="31"/>
        </w:rPr>
        <w:t>（三）压缩审批时限。</w:t>
      </w:r>
      <w:r>
        <w:rPr>
          <w:rFonts w:ascii="楷体" w:eastAsia="楷体" w:hAnsi="楷体" w:cs="楷体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为提升办事效率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及企业满意度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将延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1"/>
          <w:sz w:val="31"/>
          <w:szCs w:val="31"/>
        </w:rPr>
        <w:t>续、变更保健用品卫生许可审批事项的审查环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节由原来的</w:t>
      </w:r>
      <w:r>
        <w:rPr>
          <w:rFonts w:ascii="Times New Roman" w:eastAsia="Times New Roman" w:hAnsi="Times New Roman" w:cs="Times New Roman"/>
          <w:color w:val="231F20"/>
          <w:spacing w:val="5"/>
          <w:sz w:val="31"/>
          <w:szCs w:val="31"/>
        </w:rPr>
        <w:t>4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天调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22"/>
          <w:sz w:val="31"/>
          <w:szCs w:val="31"/>
        </w:rPr>
        <w:t>整为</w:t>
      </w:r>
      <w:r>
        <w:rPr>
          <w:rFonts w:ascii="Times New Roman" w:eastAsia="Times New Roman" w:hAnsi="Times New Roman" w:cs="Times New Roman"/>
          <w:color w:val="231F20"/>
          <w:spacing w:val="10"/>
          <w:sz w:val="31"/>
          <w:szCs w:val="31"/>
        </w:rPr>
        <w:t>3</w:t>
      </w:r>
      <w:r>
        <w:rPr>
          <w:rFonts w:ascii="仿宋" w:eastAsia="仿宋" w:hAnsi="仿宋" w:cs="仿宋"/>
          <w:color w:val="231F20"/>
          <w:spacing w:val="21"/>
          <w:sz w:val="31"/>
          <w:szCs w:val="31"/>
        </w:rPr>
        <w:t>天</w:t>
      </w:r>
      <w:r>
        <w:rPr>
          <w:rFonts w:ascii="仿宋" w:eastAsia="仿宋" w:hAnsi="仿宋" w:cs="仿宋"/>
          <w:color w:val="231F20"/>
          <w:spacing w:val="28"/>
          <w:sz w:val="31"/>
          <w:szCs w:val="31"/>
        </w:rPr>
        <w:t>。</w:t>
      </w:r>
    </w:p>
    <w:p w14:paraId="6CF58937" w14:textId="77777777" w:rsidR="006F056C" w:rsidRDefault="006F056C" w:rsidP="006F056C">
      <w:pPr>
        <w:spacing w:before="1" w:line="234" w:lineRule="auto"/>
        <w:ind w:firstLine="65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color w:val="231F20"/>
          <w:sz w:val="31"/>
          <w:szCs w:val="31"/>
        </w:rPr>
        <w:t>三</w:t>
      </w:r>
      <w:r>
        <w:rPr>
          <w:rFonts w:ascii="黑体" w:eastAsia="黑体" w:hAnsi="黑体" w:cs="黑体"/>
          <w:color w:val="231F20"/>
          <w:spacing w:val="-125"/>
          <w:sz w:val="31"/>
          <w:szCs w:val="31"/>
        </w:rPr>
        <w:t>、</w:t>
      </w:r>
      <w:r>
        <w:rPr>
          <w:rFonts w:ascii="黑体" w:eastAsia="黑体" w:hAnsi="黑体" w:cs="黑体"/>
          <w:color w:val="231F20"/>
          <w:sz w:val="31"/>
          <w:szCs w:val="31"/>
        </w:rPr>
        <w:t>组织保障</w:t>
      </w:r>
    </w:p>
    <w:p w14:paraId="229E06B5" w14:textId="77777777" w:rsidR="006F056C" w:rsidRDefault="006F056C" w:rsidP="006F056C">
      <w:pPr>
        <w:spacing w:before="194" w:line="353" w:lineRule="auto"/>
        <w:ind w:right="101" w:firstLine="523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z w:val="31"/>
          <w:szCs w:val="31"/>
        </w:rPr>
        <w:t>（一</w:t>
      </w:r>
      <w:r>
        <w:rPr>
          <w:rFonts w:ascii="楷体" w:eastAsia="楷体" w:hAnsi="楷体" w:cs="楷体"/>
          <w:color w:val="231F20"/>
          <w:spacing w:val="-30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加强组织领导</w:t>
      </w:r>
      <w:r>
        <w:rPr>
          <w:rFonts w:ascii="楷体" w:eastAsia="楷体" w:hAnsi="楷体" w:cs="楷体"/>
          <w:color w:val="231F20"/>
          <w:spacing w:val="-29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推进“证照分离”改革是中央及地方政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府的重要决策部署，对于加快政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府职能转变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优化营商环境意义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重大。各级卫生健康行政部门要充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分认识“证照分离”改革的重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要性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复杂性和艰巨性</w:t>
      </w:r>
      <w:r>
        <w:rPr>
          <w:rFonts w:ascii="仿宋" w:eastAsia="仿宋" w:hAnsi="仿宋" w:cs="仿宋"/>
          <w:color w:val="231F20"/>
          <w:spacing w:val="-52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将该项工作列入重要议事日程</w:t>
      </w:r>
      <w:r>
        <w:rPr>
          <w:rFonts w:ascii="仿宋" w:eastAsia="仿宋" w:hAnsi="仿宋" w:cs="仿宋"/>
          <w:color w:val="231F20"/>
          <w:spacing w:val="-51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加强组织 领导</w:t>
      </w:r>
      <w:r>
        <w:rPr>
          <w:rFonts w:ascii="仿宋" w:eastAsia="仿宋" w:hAnsi="仿宋" w:cs="仿宋"/>
          <w:color w:val="231F20"/>
          <w:spacing w:val="-1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建立协同推进的工作机制</w:t>
      </w:r>
      <w:r>
        <w:rPr>
          <w:rFonts w:ascii="仿宋" w:eastAsia="仿宋" w:hAnsi="仿宋" w:cs="仿宋"/>
          <w:color w:val="231F20"/>
          <w:spacing w:val="-12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统筹推进“证照分离”改革</w:t>
      </w:r>
      <w:r>
        <w:rPr>
          <w:rFonts w:ascii="仿宋" w:eastAsia="仿宋" w:hAnsi="仿宋" w:cs="仿宋"/>
          <w:color w:val="231F20"/>
          <w:spacing w:val="-122"/>
          <w:sz w:val="31"/>
          <w:szCs w:val="31"/>
        </w:rPr>
        <w:t>。</w:t>
      </w:r>
    </w:p>
    <w:p w14:paraId="23740DD2" w14:textId="77777777" w:rsidR="006F056C" w:rsidRDefault="006F056C" w:rsidP="006F056C">
      <w:pPr>
        <w:spacing w:before="8" w:line="352" w:lineRule="auto"/>
        <w:ind w:left="9" w:right="36" w:firstLine="513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color w:val="231F20"/>
          <w:spacing w:val="10"/>
          <w:sz w:val="31"/>
          <w:szCs w:val="31"/>
        </w:rPr>
        <w:t>（二）加强事中事后监管。</w:t>
      </w:r>
      <w:r>
        <w:rPr>
          <w:rFonts w:ascii="仿宋" w:eastAsia="仿宋" w:hAnsi="仿宋" w:cs="仿宋"/>
          <w:color w:val="231F20"/>
          <w:spacing w:val="10"/>
          <w:sz w:val="31"/>
          <w:szCs w:val="31"/>
        </w:rPr>
        <w:t>各级卫生健</w:t>
      </w:r>
      <w:r>
        <w:rPr>
          <w:rFonts w:ascii="仿宋" w:eastAsia="仿宋" w:hAnsi="仿宋" w:cs="仿宋"/>
          <w:color w:val="231F20"/>
          <w:spacing w:val="9"/>
          <w:sz w:val="31"/>
          <w:szCs w:val="31"/>
        </w:rPr>
        <w:t>康行政部门要结合各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自职责切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实加强保健用品事中事后监管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做好审批和监管的有效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衔接</w:t>
      </w:r>
      <w:r>
        <w:rPr>
          <w:rFonts w:ascii="仿宋" w:eastAsia="仿宋" w:hAnsi="仿宋" w:cs="仿宋"/>
          <w:color w:val="231F20"/>
          <w:spacing w:val="-15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-1"/>
          <w:sz w:val="31"/>
          <w:szCs w:val="31"/>
        </w:rPr>
        <w:t>依法创新探索制</w:t>
      </w:r>
      <w:r>
        <w:rPr>
          <w:rFonts w:ascii="仿宋" w:eastAsia="仿宋" w:hAnsi="仿宋" w:cs="仿宋"/>
          <w:color w:val="231F20"/>
          <w:sz w:val="31"/>
          <w:szCs w:val="31"/>
        </w:rPr>
        <w:t>定与“证照分离”改革相配套的事中事后监 管措施</w:t>
      </w:r>
      <w:r>
        <w:rPr>
          <w:rFonts w:ascii="仿宋" w:eastAsia="仿宋" w:hAnsi="仿宋" w:cs="仿宋"/>
          <w:color w:val="231F20"/>
          <w:spacing w:val="-83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各级卫生健康行政部门要应用“双随机</w:t>
      </w:r>
      <w:r>
        <w:rPr>
          <w:rFonts w:ascii="仿宋" w:eastAsia="仿宋" w:hAnsi="仿宋" w:cs="仿宋"/>
          <w:color w:val="231F20"/>
          <w:spacing w:val="-82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一公开”综合监 管平台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加大抽检力度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保障出厂产品的卫生质量</w:t>
      </w:r>
      <w:r>
        <w:rPr>
          <w:rFonts w:ascii="仿宋" w:eastAsia="仿宋" w:hAnsi="仿宋" w:cs="仿宋"/>
          <w:color w:val="231F20"/>
          <w:spacing w:val="-55"/>
          <w:sz w:val="31"/>
          <w:szCs w:val="31"/>
        </w:rPr>
        <w:t>；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要进一步加大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查处力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指导企业进一步规范生产条件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进一步完善原辅料采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购及产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品生产的台账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切实做到放开准入和严格监管相结合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提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升监管效能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避免出现监管真空</w:t>
      </w:r>
      <w:r>
        <w:rPr>
          <w:rFonts w:ascii="仿宋" w:eastAsia="仿宋" w:hAnsi="仿宋" w:cs="仿宋"/>
          <w:color w:val="231F20"/>
          <w:spacing w:val="7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要畅通投诉举报渠道</w:t>
      </w:r>
      <w:r>
        <w:rPr>
          <w:rFonts w:ascii="仿宋" w:eastAsia="仿宋" w:hAnsi="仿宋" w:cs="仿宋"/>
          <w:color w:val="231F20"/>
          <w:spacing w:val="6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pacing w:val="5"/>
          <w:sz w:val="31"/>
          <w:szCs w:val="31"/>
        </w:rPr>
        <w:t>加强社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会监督</w:t>
      </w:r>
      <w:r>
        <w:rPr>
          <w:rFonts w:ascii="仿宋" w:eastAsia="仿宋" w:hAnsi="仿宋" w:cs="仿宋"/>
          <w:color w:val="231F20"/>
          <w:spacing w:val="-3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对违法行为依法严肃处理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>并及时向社会公布查处结果</w:t>
      </w:r>
      <w:r>
        <w:rPr>
          <w:rFonts w:ascii="仿宋" w:eastAsia="仿宋" w:hAnsi="仿宋" w:cs="仿宋"/>
          <w:color w:val="231F20"/>
          <w:spacing w:val="-33"/>
          <w:sz w:val="31"/>
          <w:szCs w:val="31"/>
        </w:rPr>
        <w:t>。</w:t>
      </w:r>
    </w:p>
    <w:p w14:paraId="20CDD2DA" w14:textId="3642F061" w:rsidR="00BA65C0" w:rsidRDefault="006F056C" w:rsidP="006F056C">
      <w:r>
        <w:rPr>
          <w:rFonts w:ascii="楷体" w:eastAsia="楷体" w:hAnsi="楷体" w:cs="楷体"/>
          <w:color w:val="231F20"/>
          <w:sz w:val="31"/>
          <w:szCs w:val="31"/>
        </w:rPr>
        <w:lastRenderedPageBreak/>
        <w:t>（三</w:t>
      </w:r>
      <w:r>
        <w:rPr>
          <w:rFonts w:ascii="楷体" w:eastAsia="楷体" w:hAnsi="楷体" w:cs="楷体"/>
          <w:color w:val="231F20"/>
          <w:spacing w:val="-20"/>
          <w:sz w:val="31"/>
          <w:szCs w:val="31"/>
        </w:rPr>
        <w:t>）</w:t>
      </w:r>
      <w:r>
        <w:rPr>
          <w:rFonts w:ascii="楷体" w:eastAsia="楷体" w:hAnsi="楷体" w:cs="楷体"/>
          <w:color w:val="231F20"/>
          <w:sz w:val="31"/>
          <w:szCs w:val="31"/>
        </w:rPr>
        <w:t>加强宣传引导</w:t>
      </w:r>
      <w:r>
        <w:rPr>
          <w:rFonts w:ascii="楷体" w:eastAsia="楷体" w:hAnsi="楷体" w:cs="楷体"/>
          <w:color w:val="231F20"/>
          <w:spacing w:val="-20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>利用政府网站等载体</w:t>
      </w:r>
      <w:r>
        <w:rPr>
          <w:rFonts w:ascii="仿宋" w:eastAsia="仿宋" w:hAnsi="仿宋" w:cs="仿宋"/>
          <w:color w:val="231F20"/>
          <w:spacing w:val="-19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将企业登记的统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一表式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提交材料及时向社会公告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。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3"/>
          <w:sz w:val="31"/>
          <w:szCs w:val="31"/>
        </w:rPr>
        <w:t>引导申请人规</w:t>
      </w:r>
      <w:r>
        <w:rPr>
          <w:rFonts w:ascii="仿宋" w:eastAsia="仿宋" w:hAnsi="仿宋" w:cs="仿宋"/>
          <w:color w:val="231F20"/>
          <w:spacing w:val="2"/>
          <w:sz w:val="31"/>
          <w:szCs w:val="31"/>
        </w:rPr>
        <w:t>范登记材料</w:t>
      </w:r>
      <w:r>
        <w:rPr>
          <w:rFonts w:ascii="仿宋" w:eastAsia="仿宋" w:hAnsi="仿宋" w:cs="仿宋"/>
          <w:color w:val="231F20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color w:val="231F20"/>
          <w:sz w:val="31"/>
          <w:szCs w:val="31"/>
        </w:rPr>
        <w:t xml:space="preserve"> 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为</w:t>
      </w:r>
      <w:r>
        <w:rPr>
          <w:rFonts w:ascii="仿宋" w:eastAsia="仿宋" w:hAnsi="仿宋" w:cs="仿宋"/>
          <w:color w:val="231F20"/>
          <w:sz w:val="31"/>
          <w:szCs w:val="31"/>
        </w:rPr>
        <w:t>与审批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、</w:t>
      </w:r>
      <w:r>
        <w:rPr>
          <w:rFonts w:ascii="仿宋" w:eastAsia="仿宋" w:hAnsi="仿宋" w:cs="仿宋"/>
          <w:color w:val="231F20"/>
          <w:sz w:val="31"/>
          <w:szCs w:val="31"/>
        </w:rPr>
        <w:t>监管部门的信息共享奠定基础</w:t>
      </w:r>
      <w:r>
        <w:rPr>
          <w:rFonts w:ascii="仿宋" w:eastAsia="仿宋" w:hAnsi="仿宋" w:cs="仿宋"/>
          <w:color w:val="231F20"/>
          <w:spacing w:val="1"/>
          <w:sz w:val="31"/>
          <w:szCs w:val="31"/>
        </w:rPr>
        <w:t>。</w:t>
      </w:r>
    </w:p>
    <w:sectPr w:rsidR="00BA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90D4" w14:textId="77777777" w:rsidR="00FF28CB" w:rsidRDefault="006F056C">
    <w:pPr>
      <w:spacing w:line="188" w:lineRule="auto"/>
      <w:ind w:firstLine="8336"/>
      <w:rPr>
        <w:rFonts w:ascii="仿宋" w:eastAsia="仿宋" w:hAnsi="仿宋" w:cs="仿宋"/>
        <w:sz w:val="27"/>
        <w:szCs w:val="27"/>
      </w:rPr>
    </w:pP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3</w:t>
    </w:r>
    <w:r>
      <w:rPr>
        <w:rFonts w:ascii="仿宋" w:eastAsia="仿宋" w:hAnsi="仿宋" w:cs="仿宋"/>
        <w:color w:val="231F20"/>
        <w:spacing w:val="-14"/>
        <w:sz w:val="27"/>
        <w:szCs w:val="27"/>
      </w:rPr>
      <w:t xml:space="preserve"> </w:t>
    </w:r>
    <w:r>
      <w:rPr>
        <w:rFonts w:ascii="仿宋" w:eastAsia="仿宋" w:hAnsi="仿宋" w:cs="仿宋"/>
        <w:color w:val="231F20"/>
        <w:spacing w:val="-2"/>
        <w:sz w:val="27"/>
        <w:szCs w:val="27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6C"/>
    <w:rsid w:val="006F056C"/>
    <w:rsid w:val="00B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41D7"/>
  <w15:chartTrackingRefBased/>
  <w15:docId w15:val="{705FFE35-B502-4652-AF65-BBC58D0A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56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1</cp:revision>
  <dcterms:created xsi:type="dcterms:W3CDTF">2022-01-07T11:38:00Z</dcterms:created>
  <dcterms:modified xsi:type="dcterms:W3CDTF">2022-01-07T11:38:00Z</dcterms:modified>
</cp:coreProperties>
</file>