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17" w:afterLines="5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实施价格调整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医疗机构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名单</w:t>
      </w:r>
    </w:p>
    <w:tbl>
      <w:tblPr>
        <w:tblStyle w:val="7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29"/>
        <w:gridCol w:w="4452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tblHeader/>
          <w:jc w:val="center"/>
        </w:trPr>
        <w:tc>
          <w:tcPr>
            <w:tcW w:w="1304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kern w:val="0"/>
                <w:sz w:val="24"/>
                <w:szCs w:val="24"/>
              </w:rPr>
              <w:t>分类</w:t>
            </w: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1684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  <w:t>部属</w:t>
            </w: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中南大学湘雅医院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24"/>
                <w:szCs w:val="24"/>
              </w:rPr>
              <w:t>省医保局</w:t>
            </w:r>
          </w:p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  <w:t>组织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kern w:val="0"/>
                <w:sz w:val="24"/>
                <w:szCs w:val="24"/>
              </w:rPr>
              <w:t>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中南大学湘雅三医院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  <w:t>省属</w:t>
            </w: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湖南省人民医院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湖南省妇幼保健院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湖南省脑科医院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湖南省肿瘤医院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湖南省儿童医院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湖南省职业病防治医院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湖南中医药大学附属一医院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湖南中医药大学附属二医院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452" w:type="dxa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书宋简体" w:hAnsi="方正书宋简体" w:eastAsia="方正书宋简体" w:cs="方正书宋简体"/>
                <w:b w:val="0"/>
                <w:bCs w:val="0"/>
                <w:color w:val="auto"/>
                <w:kern w:val="0"/>
                <w:sz w:val="24"/>
                <w:szCs w:val="24"/>
              </w:rPr>
              <w:t>湖南中医药研究院附属医院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67"/>
    <w:rsid w:val="00060A92"/>
    <w:rsid w:val="00076CD6"/>
    <w:rsid w:val="0009641E"/>
    <w:rsid w:val="001B5F01"/>
    <w:rsid w:val="001C6A6E"/>
    <w:rsid w:val="001D4B14"/>
    <w:rsid w:val="001F2BA2"/>
    <w:rsid w:val="002D3B8F"/>
    <w:rsid w:val="002D4D27"/>
    <w:rsid w:val="002D6CFF"/>
    <w:rsid w:val="00312AE9"/>
    <w:rsid w:val="00315B8F"/>
    <w:rsid w:val="00350BE5"/>
    <w:rsid w:val="00382D10"/>
    <w:rsid w:val="0038564B"/>
    <w:rsid w:val="003A10FB"/>
    <w:rsid w:val="003B0CAC"/>
    <w:rsid w:val="00440527"/>
    <w:rsid w:val="004D3C01"/>
    <w:rsid w:val="004E3723"/>
    <w:rsid w:val="004F4EED"/>
    <w:rsid w:val="005174F2"/>
    <w:rsid w:val="00525C29"/>
    <w:rsid w:val="00550B37"/>
    <w:rsid w:val="005B6406"/>
    <w:rsid w:val="005C6C77"/>
    <w:rsid w:val="00613FF6"/>
    <w:rsid w:val="0062675A"/>
    <w:rsid w:val="00632202"/>
    <w:rsid w:val="00656A7E"/>
    <w:rsid w:val="0067665D"/>
    <w:rsid w:val="00691187"/>
    <w:rsid w:val="00761494"/>
    <w:rsid w:val="008541CC"/>
    <w:rsid w:val="008805D9"/>
    <w:rsid w:val="008A53A1"/>
    <w:rsid w:val="008C22A0"/>
    <w:rsid w:val="008F2292"/>
    <w:rsid w:val="009349E4"/>
    <w:rsid w:val="00967EDC"/>
    <w:rsid w:val="009734B8"/>
    <w:rsid w:val="009C517D"/>
    <w:rsid w:val="00A550EA"/>
    <w:rsid w:val="00A7348D"/>
    <w:rsid w:val="00AB0E27"/>
    <w:rsid w:val="00AD7B84"/>
    <w:rsid w:val="00B02767"/>
    <w:rsid w:val="00B100BA"/>
    <w:rsid w:val="00B10771"/>
    <w:rsid w:val="00B13ACA"/>
    <w:rsid w:val="00B6228B"/>
    <w:rsid w:val="00B637A8"/>
    <w:rsid w:val="00C12040"/>
    <w:rsid w:val="00C24D3B"/>
    <w:rsid w:val="00C615ED"/>
    <w:rsid w:val="00CA1B51"/>
    <w:rsid w:val="00E41469"/>
    <w:rsid w:val="00E634EC"/>
    <w:rsid w:val="00E67684"/>
    <w:rsid w:val="00EA0D6F"/>
    <w:rsid w:val="00EE60ED"/>
    <w:rsid w:val="00EF0232"/>
    <w:rsid w:val="00EF5EA4"/>
    <w:rsid w:val="00F60E11"/>
    <w:rsid w:val="00FE4C92"/>
    <w:rsid w:val="00FE5DF2"/>
    <w:rsid w:val="03FC385C"/>
    <w:rsid w:val="046D388D"/>
    <w:rsid w:val="0AFE73C3"/>
    <w:rsid w:val="0CE622F8"/>
    <w:rsid w:val="11F12C88"/>
    <w:rsid w:val="1D313E41"/>
    <w:rsid w:val="1F8E52BD"/>
    <w:rsid w:val="253C706D"/>
    <w:rsid w:val="25B90E1F"/>
    <w:rsid w:val="282A6A6D"/>
    <w:rsid w:val="286D7229"/>
    <w:rsid w:val="28FC4556"/>
    <w:rsid w:val="29D04DA2"/>
    <w:rsid w:val="2BB8533E"/>
    <w:rsid w:val="2DF10611"/>
    <w:rsid w:val="2F4570DD"/>
    <w:rsid w:val="2FF65D56"/>
    <w:rsid w:val="30342A42"/>
    <w:rsid w:val="31A8441A"/>
    <w:rsid w:val="32580907"/>
    <w:rsid w:val="359A26D7"/>
    <w:rsid w:val="35C402FF"/>
    <w:rsid w:val="3D5E1EE6"/>
    <w:rsid w:val="3E5654FA"/>
    <w:rsid w:val="3FC772DC"/>
    <w:rsid w:val="4189152B"/>
    <w:rsid w:val="41DE785D"/>
    <w:rsid w:val="427723A5"/>
    <w:rsid w:val="46F7D485"/>
    <w:rsid w:val="47412ADD"/>
    <w:rsid w:val="49BE336A"/>
    <w:rsid w:val="4A235025"/>
    <w:rsid w:val="4AE4356F"/>
    <w:rsid w:val="4C1B0310"/>
    <w:rsid w:val="4C1C66ED"/>
    <w:rsid w:val="4DB17727"/>
    <w:rsid w:val="52BE23AA"/>
    <w:rsid w:val="58C53BDE"/>
    <w:rsid w:val="5A7D3B74"/>
    <w:rsid w:val="5AD37698"/>
    <w:rsid w:val="62963F15"/>
    <w:rsid w:val="635C0EF2"/>
    <w:rsid w:val="65EF69BB"/>
    <w:rsid w:val="67E70C75"/>
    <w:rsid w:val="6F0613BE"/>
    <w:rsid w:val="7687188F"/>
    <w:rsid w:val="79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font51"/>
    <w:basedOn w:val="8"/>
    <w:qFormat/>
    <w:uiPriority w:val="0"/>
    <w:rPr>
      <w:rFonts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1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8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0">
    <w:name w:val="font81"/>
    <w:basedOn w:val="8"/>
    <w:qFormat/>
    <w:uiPriority w:val="0"/>
    <w:rPr>
      <w:rFonts w:hint="eastAsia" w:ascii="仿宋_GB2312" w:eastAsia="仿宋_GB2312" w:cs="仿宋_GB2312"/>
      <w:color w:val="FF0000"/>
      <w:sz w:val="21"/>
      <w:szCs w:val="21"/>
      <w:u w:val="none"/>
    </w:rPr>
  </w:style>
  <w:style w:type="character" w:customStyle="1" w:styleId="21">
    <w:name w:val="font31"/>
    <w:basedOn w:val="8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2">
    <w:name w:val="font9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32</Pages>
  <Words>13369</Words>
  <Characters>17824</Characters>
  <Lines>38</Lines>
  <Paragraphs>10</Paragraphs>
  <TotalTime>1</TotalTime>
  <ScaleCrop>false</ScaleCrop>
  <LinksUpToDate>false</LinksUpToDate>
  <CharactersWithSpaces>17862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2017-12-11T12:44:00Z</dcterms:created>
  <dc:creator>User</dc:creator>
  <cp:lastModifiedBy>Administrator</cp:lastModifiedBy>
  <cp:lastPrinted>2021-12-24T10:38:00Z</cp:lastPrinted>
  <dcterms:modified xsi:type="dcterms:W3CDTF">2022-01-05T03:23:06Z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BD005DCE2D554BB5BE7F73124F878890</vt:lpwstr>
  </property>
</Properties>
</file>