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0"/>
          <w:szCs w:val="44"/>
        </w:rPr>
        <w:t>试行新增医疗服务项目表</w:t>
      </w:r>
      <w:bookmarkEnd w:id="1"/>
    </w:p>
    <w:p>
      <w:pPr>
        <w:spacing w:line="520" w:lineRule="exact"/>
        <w:jc w:val="both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9498" w:type="dxa"/>
        <w:jc w:val="center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16"/>
        <w:gridCol w:w="2763"/>
        <w:gridCol w:w="3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2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试行医疗机构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L110200006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一体化门诊诊查费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广西医科大学第一附属医院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RANGE!A3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  <w:bookmarkEnd w:id="0"/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L250501043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人微生物多样性检测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广西医科大学附属肿瘤医院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L490000018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松烟墨宝疗法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广西国际壮医医院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L490000019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壮医祛产风疗法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广西国际壮医医院</w:t>
            </w:r>
          </w:p>
        </w:tc>
      </w:tr>
    </w:tbl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24662"/>
    <w:rsid w:val="24171F74"/>
    <w:rsid w:val="32B246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2021-12-14T07:12:00Z</dcterms:created>
  <dc:creator>dengd</dc:creator>
  <cp:lastModifiedBy>dengd</cp:lastModifiedBy>
  <dcterms:modified xsi:type="dcterms:W3CDTF">2021-12-14T07:12:36Z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