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44"/>
          <w:szCs w:val="44"/>
        </w:rPr>
      </w:pPr>
      <w:bookmarkStart w:id="0" w:name="_GoBack"/>
      <w:r>
        <w:rPr>
          <w:rFonts w:hint="eastAsia" w:ascii="方正小标宋简体" w:eastAsia="方正小标宋简体"/>
          <w:bCs/>
          <w:sz w:val="44"/>
          <w:szCs w:val="44"/>
        </w:rPr>
        <w:t>内蒙古自治区人民政府办公厅关于建立完善职工基本医疗保险门诊共济保障机制的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sz w:val="44"/>
          <w:szCs w:val="44"/>
        </w:rPr>
      </w:pPr>
      <w:r>
        <w:rPr>
          <w:rFonts w:hint="eastAsia" w:ascii="方正小标宋简体" w:eastAsia="方正小标宋简体"/>
          <w:bCs/>
          <w:sz w:val="44"/>
          <w:szCs w:val="44"/>
        </w:rPr>
        <w:t>实施意见</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sz w:val="32"/>
          <w:szCs w:val="32"/>
        </w:rPr>
      </w:pPr>
      <w:r>
        <w:rPr>
          <w:rFonts w:hint="eastAsia" w:ascii="楷体_GB2312" w:eastAsia="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为了深入贯彻《国务院办公厅关于建立健全职工基本医疗保险门诊共济保障机制的指导意见》（国办发〔2021〕14号）精神，更好解决</w:t>
      </w:r>
      <w:r>
        <w:rPr>
          <w:rFonts w:hint="eastAsia" w:ascii="仿宋_GB2312" w:eastAsia="仿宋_GB2312"/>
          <w:sz w:val="32"/>
          <w:szCs w:val="32"/>
          <w:lang w:eastAsia="zh-CN"/>
        </w:rPr>
        <w:t>职工基本医疗保险（以下简称“</w:t>
      </w:r>
      <w:r>
        <w:rPr>
          <w:rFonts w:hint="eastAsia" w:ascii="仿宋_GB2312" w:eastAsia="仿宋_GB2312"/>
          <w:sz w:val="32"/>
          <w:szCs w:val="32"/>
        </w:rPr>
        <w:t>职工医保</w:t>
      </w:r>
      <w:r>
        <w:rPr>
          <w:rFonts w:hint="eastAsia" w:ascii="仿宋_GB2312" w:eastAsia="仿宋_GB2312"/>
          <w:sz w:val="32"/>
          <w:szCs w:val="32"/>
          <w:lang w:eastAsia="zh-CN"/>
        </w:rPr>
        <w:t>”）</w:t>
      </w:r>
      <w:r>
        <w:rPr>
          <w:rFonts w:hint="eastAsia" w:ascii="仿宋_GB2312" w:eastAsia="仿宋_GB2312"/>
          <w:sz w:val="32"/>
          <w:szCs w:val="32"/>
        </w:rPr>
        <w:t>参保人员门诊保障问题，经自治区人民政府同意，现就建立健全内蒙古自治区职工</w:t>
      </w:r>
      <w:r>
        <w:rPr>
          <w:rFonts w:hint="eastAsia" w:ascii="仿宋_GB2312" w:eastAsia="仿宋_GB2312"/>
          <w:sz w:val="32"/>
          <w:szCs w:val="32"/>
          <w:lang w:eastAsia="zh-CN"/>
        </w:rPr>
        <w:t>医保</w:t>
      </w:r>
      <w:r>
        <w:rPr>
          <w:rFonts w:hint="eastAsia" w:ascii="仿宋_GB2312" w:eastAsia="仿宋_GB2312"/>
          <w:sz w:val="32"/>
          <w:szCs w:val="32"/>
        </w:rPr>
        <w:t>门诊共济保障机制提出如下实施意见：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一、增强门诊共济保障功能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不断健全职工医保门诊费用保障机制，逐步由病种保障向费用保障过渡，根据医保统筹基金承受能力，稳步提高保障水平，减轻参保人员门诊就医负担。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（一）建立职工医保普通门诊统筹制度</w:t>
      </w:r>
      <w:r>
        <w:rPr>
          <w:rFonts w:hint="eastAsia" w:ascii="仿宋_GB2312" w:eastAsia="仿宋_GB2312"/>
          <w:sz w:val="32"/>
          <w:szCs w:val="32"/>
        </w:rPr>
        <w:t>。逐步将门诊多发病、常见病纳入医保统筹基金支付范围。在国家规定范围内，自治区医疗保障部门会同财政部门制定具体待遇政策标准，并根据国家要求动态调整。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（二）加强特殊疾病、慢性病的门诊保障。</w:t>
      </w:r>
      <w:r>
        <w:rPr>
          <w:rFonts w:hint="eastAsia" w:ascii="仿宋_GB2312" w:eastAsia="仿宋_GB2312"/>
          <w:sz w:val="32"/>
          <w:szCs w:val="32"/>
        </w:rPr>
        <w:t>职工医保门诊特殊疾病、慢性病范围由自治区统一确定。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1、统一职工医保门诊特殊疾病范围</w:t>
      </w:r>
      <w:r>
        <w:rPr>
          <w:rFonts w:hint="eastAsia" w:ascii="仿宋_GB2312" w:eastAsia="仿宋_GB2312"/>
          <w:sz w:val="32"/>
          <w:szCs w:val="32"/>
        </w:rPr>
        <w:t>。对部分适合在门诊开展、比住院更经济方便的特殊治疗门诊费用，纳入统筹基金支付范围，可参照统筹地区住院政策进行管理。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2、统一职工医保门诊慢性病范围</w:t>
      </w:r>
      <w:r>
        <w:rPr>
          <w:rFonts w:hint="eastAsia" w:ascii="仿宋_GB2312" w:eastAsia="仿宋_GB2312"/>
          <w:sz w:val="32"/>
          <w:szCs w:val="32"/>
        </w:rPr>
        <w:t>。将部分治疗周期长、对健康损害大、费用负担重的疾病门诊费用，纳入统筹基金支付范围。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积极稳妥推进</w:t>
      </w:r>
      <w:r>
        <w:rPr>
          <w:rFonts w:hint="eastAsia" w:ascii="仿宋_GB2312" w:eastAsia="仿宋_GB2312"/>
          <w:sz w:val="32"/>
          <w:szCs w:val="32"/>
        </w:rPr>
        <w:t>。按照杜绝增量、清理存量的要求，各盟市不得再出新的门诊慢特病政策。按照“老人老办法、新人新办法”的原则，做好新旧政策衔接，确保平稳过渡。不属于规定范围内的门诊慢特病病种，不再新增人员，</w:t>
      </w:r>
      <w:r>
        <w:rPr>
          <w:rFonts w:hint="eastAsia" w:ascii="仿宋_GB2312" w:eastAsia="仿宋_GB2312"/>
          <w:color w:val="auto"/>
          <w:sz w:val="32"/>
          <w:szCs w:val="32"/>
        </w:rPr>
        <w:t>已纳入人员可按照规定继续享受待遇，可设置三年过渡期，</w:t>
      </w:r>
      <w:r>
        <w:rPr>
          <w:rFonts w:hint="eastAsia" w:ascii="仿宋_GB2312" w:eastAsia="仿宋_GB2312"/>
          <w:color w:val="auto"/>
          <w:sz w:val="32"/>
          <w:szCs w:val="32"/>
          <w:highlight w:val="none"/>
        </w:rPr>
        <w:t>逐步由病种保障向</w:t>
      </w:r>
      <w:r>
        <w:rPr>
          <w:rFonts w:hint="eastAsia" w:ascii="仿宋_GB2312" w:eastAsia="仿宋_GB2312"/>
          <w:color w:val="auto"/>
          <w:sz w:val="32"/>
          <w:szCs w:val="32"/>
          <w:highlight w:val="none"/>
          <w:lang w:eastAsia="zh-CN"/>
        </w:rPr>
        <w:t>费用</w:t>
      </w:r>
      <w:r>
        <w:rPr>
          <w:rFonts w:hint="eastAsia" w:ascii="仿宋_GB2312" w:eastAsia="仿宋_GB2312"/>
          <w:color w:val="auto"/>
          <w:sz w:val="32"/>
          <w:szCs w:val="32"/>
          <w:highlight w:val="none"/>
        </w:rPr>
        <w:t>保障过渡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eastAsia="楷体_GB2312"/>
          <w:sz w:val="32"/>
          <w:szCs w:val="32"/>
        </w:rPr>
        <w:t>（三）做好门诊和住院保障政策的衔接</w:t>
      </w:r>
      <w:r>
        <w:rPr>
          <w:rFonts w:hint="eastAsia" w:ascii="仿宋_GB2312" w:eastAsia="仿宋_GB2312"/>
          <w:sz w:val="32"/>
          <w:szCs w:val="32"/>
        </w:rPr>
        <w:t>。门诊保障年度最高支付限额纳入住院统筹基金年度最高支付限额计算，并做好与住院支付政策的衔接。要做好普通门诊和门诊慢特病保障政策的衔接，原则上不重复享受待遇。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二、改进职工医保个人账户计入办法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按照国家要求，科学合理确定个人账户计入标准，调整统筹基金和个人账户结构后，增加的统筹基金主要用于门诊共济保障，提高参保人员门诊待遇。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2022年1月1日起，单位缴纳的基本医疗保险费全部计入统筹基金。在职职工个人账户，按照本人参保缴费基数2%缴纳的基本医疗保险费计入。退休人员个人账户，逐步调整到由统筹基金按定额划入，</w:t>
      </w:r>
      <w:r>
        <w:rPr>
          <w:rFonts w:hint="eastAsia" w:ascii="仿宋_GB2312" w:eastAsia="仿宋_GB2312"/>
          <w:color w:val="auto"/>
          <w:sz w:val="32"/>
          <w:szCs w:val="32"/>
          <w:highlight w:val="none"/>
        </w:rPr>
        <w:t>以2021年全区平均基本养老金为基数</w:t>
      </w:r>
      <w:r>
        <w:rPr>
          <w:rFonts w:hint="eastAsia" w:ascii="仿宋_GB2312" w:eastAsia="仿宋_GB2312"/>
          <w:sz w:val="32"/>
          <w:szCs w:val="32"/>
        </w:rPr>
        <w:t>，2022年按照3%比例定额划入个人账户，2023年起按照2%比例定额划入个人账户。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三、扩大个人账户支付范围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个人账户主要用于支付参保人员在定点医疗机构或定点零售药店发生的政策范围内自付费用。个人账户可以用于支付参保人员本人及其配偶、父母、子女在定点医疗机构就医发生的由个人负担的医疗费用，以及在定点零售药店购买药品、医疗器械、医用耗材发生的由个人负担的费用。个人账户也可以用于配偶、父母、子女参加居民医保</w:t>
      </w:r>
      <w:r>
        <w:rPr>
          <w:rFonts w:hint="eastAsia" w:ascii="仿宋_GB2312" w:eastAsia="仿宋_GB2312"/>
          <w:sz w:val="32"/>
          <w:szCs w:val="32"/>
          <w:lang w:eastAsia="zh-CN"/>
        </w:rPr>
        <w:t>、职工大额医疗费用补助</w:t>
      </w:r>
      <w:r>
        <w:rPr>
          <w:rFonts w:hint="eastAsia" w:ascii="仿宋_GB2312" w:eastAsia="仿宋_GB2312"/>
          <w:sz w:val="32"/>
          <w:szCs w:val="32"/>
        </w:rPr>
        <w:t>、长期护理保险等的个人缴费。个人账户不得用于公共卫生费用、体育健身或养生保健消费等不属于基本医疗保险保障范围的支出。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四、完善医保支付政策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完善与门诊保障相适应的付费机制，推进医保支付方式分类</w:t>
      </w:r>
      <w:r>
        <w:rPr>
          <w:rFonts w:hint="eastAsia" w:ascii="仿宋_GB2312" w:eastAsia="仿宋_GB2312"/>
          <w:sz w:val="32"/>
          <w:szCs w:val="32"/>
          <w:lang w:eastAsia="zh-CN"/>
        </w:rPr>
        <w:t>改革</w:t>
      </w:r>
      <w:r>
        <w:rPr>
          <w:rFonts w:hint="eastAsia" w:ascii="仿宋_GB2312" w:eastAsia="仿宋_GB2312"/>
          <w:sz w:val="32"/>
          <w:szCs w:val="32"/>
        </w:rPr>
        <w:t>，支持分级诊疗模式和家庭医生签约服务制度建设，依托基层医疗卫生机构开展门诊统筹按人头付费，积极探索将按人头付费与慢性病管理相结合；对日间手术及符合条件的门诊特殊治疗病种，推行按病种或按疾病诊断相关分组付费；对不宜打包付费的门诊费用，可按项目付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积极推进谈判药品落地，建立健全谈判药品门诊保障及“双通道”管理机制，做好谈判药品落地监测。将符合条件的定点零售药店提供的用药保障服务纳入门诊保障范围，</w:t>
      </w:r>
      <w:r>
        <w:rPr>
          <w:rFonts w:hint="eastAsia" w:ascii="仿宋_GB2312" w:eastAsia="仿宋_GB2312"/>
          <w:sz w:val="32"/>
          <w:szCs w:val="32"/>
          <w:lang w:eastAsia="zh-CN"/>
        </w:rPr>
        <w:t>支</w:t>
      </w:r>
      <w:r>
        <w:rPr>
          <w:rFonts w:hint="eastAsia" w:ascii="仿宋_GB2312" w:eastAsia="仿宋_GB2312"/>
          <w:sz w:val="32"/>
          <w:szCs w:val="32"/>
        </w:rPr>
        <w:t>持</w:t>
      </w:r>
      <w:r>
        <w:rPr>
          <w:rFonts w:hint="eastAsia" w:ascii="仿宋_GB2312" w:eastAsia="仿宋_GB2312"/>
          <w:sz w:val="32"/>
          <w:szCs w:val="32"/>
          <w:lang w:eastAsia="zh-CN"/>
        </w:rPr>
        <w:t>参保人员持</w:t>
      </w:r>
      <w:r>
        <w:rPr>
          <w:rFonts w:hint="eastAsia" w:ascii="仿宋_GB2312" w:eastAsia="仿宋_GB2312"/>
          <w:sz w:val="32"/>
          <w:szCs w:val="32"/>
        </w:rPr>
        <w:t>定点医疗机构外配处方在定点零售药店结算和</w:t>
      </w:r>
      <w:r>
        <w:rPr>
          <w:rFonts w:hint="eastAsia" w:ascii="仿宋_GB2312" w:eastAsia="仿宋_GB2312"/>
          <w:sz w:val="32"/>
          <w:szCs w:val="32"/>
          <w:lang w:eastAsia="zh-CN"/>
        </w:rPr>
        <w:t>配</w:t>
      </w:r>
      <w:r>
        <w:rPr>
          <w:rFonts w:hint="eastAsia" w:ascii="仿宋_GB2312" w:eastAsia="仿宋_GB2312"/>
          <w:sz w:val="32"/>
          <w:szCs w:val="32"/>
        </w:rPr>
        <w:t>药，</w:t>
      </w:r>
      <w:r>
        <w:rPr>
          <w:rFonts w:hint="eastAsia" w:ascii="仿宋_GB2312" w:eastAsia="仿宋_GB2312"/>
          <w:sz w:val="32"/>
          <w:szCs w:val="32"/>
          <w:lang w:eastAsia="zh-CN"/>
        </w:rPr>
        <w:t>充分发挥定点零售药店便民、可及的作用</w:t>
      </w:r>
      <w:r>
        <w:rPr>
          <w:rFonts w:hint="eastAsia" w:ascii="仿宋_GB2312" w:eastAsia="仿宋_GB2312"/>
          <w:sz w:val="32"/>
          <w:szCs w:val="32"/>
        </w:rPr>
        <w:t>。探索将符合条件的“互联网+”医疗服务纳入医保支付范围。科学合理确定医保药品支付标准，形成激励约束和风险分担机制，</w:t>
      </w:r>
      <w:r>
        <w:rPr>
          <w:rFonts w:ascii="仿宋_GB2312" w:eastAsia="仿宋_GB2312"/>
          <w:sz w:val="32"/>
          <w:szCs w:val="32"/>
        </w:rPr>
        <w:t>规范医疗机构</w:t>
      </w:r>
      <w:r>
        <w:rPr>
          <w:rFonts w:hint="eastAsia" w:ascii="仿宋_GB2312" w:eastAsia="仿宋_GB2312"/>
          <w:sz w:val="32"/>
          <w:szCs w:val="32"/>
        </w:rPr>
        <w:t>诊疗行为，引导医疗机构和患者主动使用疗效确切、价格合理的药品。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五、加强医保基金监督管理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加强医保基金监督管理，建立医保基金安全防控机制，严厉打击欺诈骗保行为，确保基金安全高效、合理使用。强化对医疗行为和医疗费用的监管，</w:t>
      </w:r>
      <w:r>
        <w:rPr>
          <w:rFonts w:ascii="仿宋_GB2312" w:eastAsia="仿宋_GB2312"/>
          <w:sz w:val="32"/>
          <w:szCs w:val="32"/>
        </w:rPr>
        <w:t>开展假病人</w:t>
      </w:r>
      <w:r>
        <w:rPr>
          <w:rFonts w:hint="eastAsia" w:ascii="仿宋_GB2312" w:eastAsia="仿宋_GB2312"/>
          <w:sz w:val="32"/>
          <w:szCs w:val="32"/>
        </w:rPr>
        <w:t>、</w:t>
      </w:r>
      <w:r>
        <w:rPr>
          <w:rFonts w:ascii="仿宋_GB2312" w:eastAsia="仿宋_GB2312"/>
          <w:sz w:val="32"/>
          <w:szCs w:val="32"/>
        </w:rPr>
        <w:t>假病情</w:t>
      </w:r>
      <w:r>
        <w:rPr>
          <w:rFonts w:hint="eastAsia" w:ascii="仿宋_GB2312" w:eastAsia="仿宋_GB2312"/>
          <w:sz w:val="32"/>
          <w:szCs w:val="32"/>
        </w:rPr>
        <w:t>、</w:t>
      </w:r>
      <w:r>
        <w:rPr>
          <w:rFonts w:ascii="仿宋_GB2312" w:eastAsia="仿宋_GB2312"/>
          <w:sz w:val="32"/>
          <w:szCs w:val="32"/>
        </w:rPr>
        <w:t>假票据等</w:t>
      </w:r>
      <w:r>
        <w:rPr>
          <w:rFonts w:hint="eastAsia" w:ascii="仿宋_GB2312" w:eastAsia="仿宋_GB2312"/>
          <w:sz w:val="32"/>
          <w:szCs w:val="32"/>
        </w:rPr>
        <w:t>“</w:t>
      </w:r>
      <w:r>
        <w:rPr>
          <w:rFonts w:ascii="仿宋_GB2312" w:eastAsia="仿宋_GB2312"/>
          <w:sz w:val="32"/>
          <w:szCs w:val="32"/>
        </w:rPr>
        <w:t>三假</w:t>
      </w:r>
      <w:r>
        <w:rPr>
          <w:rFonts w:hint="eastAsia" w:ascii="仿宋_GB2312" w:eastAsia="仿宋_GB2312"/>
          <w:sz w:val="32"/>
          <w:szCs w:val="32"/>
        </w:rPr>
        <w:t>”</w:t>
      </w:r>
      <w:r>
        <w:rPr>
          <w:rFonts w:ascii="仿宋_GB2312" w:eastAsia="仿宋_GB2312"/>
          <w:sz w:val="32"/>
          <w:szCs w:val="32"/>
        </w:rPr>
        <w:t>专项整治</w:t>
      </w:r>
      <w:r>
        <w:rPr>
          <w:rFonts w:hint="eastAsia" w:ascii="仿宋_GB2312" w:eastAsia="仿宋_GB2312"/>
          <w:sz w:val="32"/>
          <w:szCs w:val="32"/>
        </w:rPr>
        <w:t>，严肃查处“挂床”住院、诱导住院等违法违规行为。</w:t>
      </w:r>
      <w:r>
        <w:rPr>
          <w:rFonts w:ascii="仿宋_GB2312" w:eastAsia="仿宋_GB2312"/>
          <w:bCs/>
          <w:sz w:val="32"/>
          <w:szCs w:val="32"/>
        </w:rPr>
        <w:t>完善</w:t>
      </w:r>
      <w:r>
        <w:rPr>
          <w:rFonts w:hint="eastAsia" w:ascii="仿宋_GB2312" w:eastAsia="仿宋_GB2312"/>
          <w:bCs/>
          <w:sz w:val="32"/>
          <w:szCs w:val="32"/>
        </w:rPr>
        <w:t>医保基金</w:t>
      </w:r>
      <w:r>
        <w:rPr>
          <w:rFonts w:ascii="仿宋_GB2312" w:eastAsia="仿宋_GB2312"/>
          <w:bCs/>
          <w:sz w:val="32"/>
          <w:szCs w:val="32"/>
        </w:rPr>
        <w:t>智能监管</w:t>
      </w:r>
      <w:r>
        <w:rPr>
          <w:rFonts w:hint="eastAsia" w:ascii="仿宋_GB2312" w:eastAsia="仿宋_GB2312"/>
          <w:bCs/>
          <w:sz w:val="32"/>
          <w:szCs w:val="32"/>
        </w:rPr>
        <w:t>，</w:t>
      </w:r>
      <w:r>
        <w:rPr>
          <w:rFonts w:ascii="仿宋_GB2312" w:eastAsia="仿宋_GB2312"/>
          <w:sz w:val="32"/>
          <w:szCs w:val="32"/>
        </w:rPr>
        <w:t>建立全区统一的智能监控系统，推进智能监控知识库和规则库规范化建设。</w:t>
      </w:r>
      <w:r>
        <w:rPr>
          <w:rFonts w:hint="eastAsia" w:ascii="仿宋_GB2312" w:eastAsia="仿宋_GB2312"/>
          <w:sz w:val="32"/>
          <w:szCs w:val="32"/>
        </w:rPr>
        <w:t>建全</w:t>
      </w:r>
      <w:r>
        <w:rPr>
          <w:rFonts w:ascii="仿宋_GB2312" w:eastAsia="仿宋_GB2312"/>
          <w:sz w:val="32"/>
          <w:szCs w:val="32"/>
        </w:rPr>
        <w:t>综合监管机制</w:t>
      </w:r>
      <w:r>
        <w:rPr>
          <w:rFonts w:hint="eastAsia" w:ascii="仿宋_GB2312" w:eastAsia="仿宋_GB2312"/>
          <w:sz w:val="32"/>
          <w:szCs w:val="32"/>
        </w:rPr>
        <w:t>，建立</w:t>
      </w:r>
      <w:r>
        <w:rPr>
          <w:rFonts w:ascii="仿宋_GB2312" w:eastAsia="仿宋_GB2312"/>
          <w:sz w:val="32"/>
          <w:szCs w:val="32"/>
        </w:rPr>
        <w:t>医保基金监管联席会议制度，形成监管合力。</w:t>
      </w:r>
      <w:r>
        <w:rPr>
          <w:rFonts w:ascii="仿宋_GB2312" w:eastAsia="仿宋_GB2312"/>
          <w:bCs/>
          <w:sz w:val="32"/>
          <w:szCs w:val="32"/>
        </w:rPr>
        <w:t>积极引入第三方</w:t>
      </w:r>
      <w:r>
        <w:rPr>
          <w:rFonts w:hint="eastAsia" w:ascii="仿宋_GB2312" w:eastAsia="仿宋_GB2312"/>
          <w:bCs/>
          <w:sz w:val="32"/>
          <w:szCs w:val="32"/>
        </w:rPr>
        <w:t>，</w:t>
      </w:r>
      <w:r>
        <w:rPr>
          <w:rFonts w:ascii="仿宋_GB2312" w:eastAsia="仿宋_GB2312"/>
          <w:sz w:val="32"/>
          <w:szCs w:val="32"/>
        </w:rPr>
        <w:t>充分发挥专业技术支持作用参与医保基金监管，提升监管的专业性。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六、优化医保经办管理服务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创新门诊保障管理服务办法，将门诊保障纳入医保定点服务协议范围，健全门诊医疗服务监控、分析和考核体系，完善定点医药机构履行协议绩效管理办法，引导定点医药机构规范提供诊疗服务。严格执行医保基金预算管理制度，加强医保基金稽核制度和内控制度建设。健全完善个人账户使用管理办法，建立对个人账户全流程管理机制，加强对个人账户使用、结算等环节审核，做好收支信息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加快自治区统一的医疗保障信息平台建设，推进门诊费用异地就医直接结算。协同推动基层医疗服务体系建设、完善家庭医生签约服务、规范长期处方管理等，引导参保人员在基层就医首诊。结合完善门诊慢特病管理措施，规范基层定点医疗机构诊疗及转诊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（一）加强组织领导</w:t>
      </w:r>
      <w:r>
        <w:rPr>
          <w:rFonts w:hint="eastAsia" w:ascii="仿宋" w:hAnsi="仿宋" w:eastAsia="仿宋" w:cs="华文楷体"/>
          <w:sz w:val="32"/>
          <w:szCs w:val="32"/>
        </w:rPr>
        <w:t>。</w:t>
      </w:r>
      <w:r>
        <w:rPr>
          <w:rFonts w:hint="eastAsia" w:ascii="仿宋_GB2312" w:eastAsia="仿宋_GB2312"/>
          <w:sz w:val="32"/>
          <w:szCs w:val="32"/>
        </w:rPr>
        <w:t>各盟市行政公署、人民政府要高度重视，建立部门协同机制，抓好工作落实。各地要结合本地实际，在职责权限内细化政策规定，2021年11月底前出台实施细则。各地要妥善处理好改革前后的政策衔接，同步完善城乡居民基本医疗保险门诊统筹，积极稳妥推进，确保参保人员待遇平稳过渡。已经开展相关工作的要进一步规范政策标准，尚未开展相关工作的要积极稳妥启动实施。自治区</w:t>
      </w:r>
      <w:r>
        <w:rPr>
          <w:rFonts w:hint="eastAsia" w:ascii="仿宋_GB2312" w:eastAsia="仿宋_GB2312"/>
          <w:sz w:val="32"/>
          <w:szCs w:val="32"/>
          <w:lang w:eastAsia="zh-CN"/>
        </w:rPr>
        <w:t>医疗保障局</w:t>
      </w:r>
      <w:r>
        <w:rPr>
          <w:rFonts w:hint="eastAsia" w:ascii="仿宋_GB2312" w:eastAsia="仿宋_GB2312"/>
          <w:sz w:val="32"/>
          <w:szCs w:val="32"/>
        </w:rPr>
        <w:t>、财政厅要会同相关部门，加强对各盟市监督指导。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（二）营造良好氛围</w:t>
      </w:r>
      <w:r>
        <w:rPr>
          <w:rFonts w:hint="eastAsia" w:ascii="仿宋" w:hAnsi="仿宋" w:eastAsia="仿宋" w:cs="仿宋_GB2312"/>
          <w:color w:val="000000"/>
          <w:kern w:val="0"/>
          <w:sz w:val="32"/>
          <w:szCs w:val="32"/>
        </w:rPr>
        <w:t>。</w:t>
      </w:r>
      <w:r>
        <w:rPr>
          <w:rFonts w:hint="eastAsia" w:ascii="仿宋_GB2312" w:eastAsia="仿宋_GB2312"/>
          <w:sz w:val="32"/>
          <w:szCs w:val="32"/>
        </w:rPr>
        <w:t>各地区各部门要主动做好医疗保障政策解读和服务宣传，充分宣传建立健全职工医保门诊共济保障机制对减轻参保人员医疗费用负担、促进制度更加公平更可持续的重要作用，大力宣传医疗保险共建共享、互助共济的重要意义。充分调动各方支持配合改革的积极性和主动性，凝聚社会共识。要建立舆情监测和处置机制，及时回应社会关切，合理引导预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rPr>
        <w:t>内蒙古自治区人民政府办公厅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2021年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（此件公开发布）</w:t>
      </w:r>
    </w:p>
    <w:p>
      <w:pPr>
        <w:widowControl w:val="0"/>
        <w:numPr>
          <w:ilvl w:val="0"/>
          <w:numId w:val="0"/>
        </w:numPr>
        <w:suppressAutoHyphens/>
        <w:bidi w:val="0"/>
        <w:jc w:val="both"/>
        <w:rPr>
          <w:rFonts w:hint="default"/>
        </w:rPr>
      </w:pPr>
    </w:p>
    <w:p>
      <w:pPr>
        <w:widowControl w:val="0"/>
        <w:numPr>
          <w:ilvl w:val="0"/>
          <w:numId w:val="0"/>
        </w:numPr>
        <w:suppressAutoHyphens/>
        <w:bidi w:val="0"/>
        <w:jc w:val="both"/>
        <w:rPr>
          <w:rFonts w:hint="default"/>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相关链接</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国务院办公厅关于建立健全职工基本医疗保险门诊共济保障机制的指导意见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"http://www.nhsa.gov.cn/art/2021/4/22/art_37_4921.html" </w:instrText>
      </w:r>
      <w:r>
        <w:rPr>
          <w:rFonts w:hint="eastAsia" w:ascii="宋体" w:hAnsi="宋体" w:eastAsia="宋体" w:cs="宋体"/>
          <w:sz w:val="32"/>
          <w:szCs w:val="32"/>
        </w:rPr>
        <w:fldChar w:fldCharType="separate"/>
      </w:r>
      <w:r>
        <w:rPr>
          <w:rStyle w:val="9"/>
          <w:rFonts w:hint="eastAsia" w:ascii="宋体" w:hAnsi="宋体" w:eastAsia="宋体" w:cs="宋体"/>
          <w:sz w:val="32"/>
          <w:szCs w:val="32"/>
        </w:rPr>
        <w:t>http://www.nhsa.gov.cn/art/2021/4/22/art_37_4921.html</w:t>
      </w:r>
      <w:r>
        <w:rPr>
          <w:rFonts w:hint="eastAsia" w:ascii="宋体" w:hAnsi="宋体" w:eastAsia="宋体" w:cs="宋体"/>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建立健全职工基本医疗保险门诊共济保障机制国务院政策例行吹风会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"http://www.nhsa.gov.cn/art/2021/4/22/art_14_4920.html" </w:instrText>
      </w:r>
      <w:r>
        <w:rPr>
          <w:rFonts w:hint="eastAsia" w:ascii="宋体" w:hAnsi="宋体" w:eastAsia="宋体" w:cs="宋体"/>
          <w:sz w:val="32"/>
          <w:szCs w:val="32"/>
        </w:rPr>
        <w:fldChar w:fldCharType="separate"/>
      </w:r>
      <w:r>
        <w:rPr>
          <w:rStyle w:val="9"/>
          <w:rFonts w:hint="eastAsia" w:ascii="宋体" w:hAnsi="宋体" w:eastAsia="宋体" w:cs="宋体"/>
          <w:sz w:val="32"/>
          <w:szCs w:val="32"/>
        </w:rPr>
        <w:t>http://www.nhsa.gov.cn/art/2021/4/22/art_14_4920.html</w:t>
      </w:r>
      <w:r>
        <w:rPr>
          <w:rFonts w:hint="eastAsia" w:ascii="宋体" w:hAnsi="宋体" w:eastAsia="宋体" w:cs="宋体"/>
          <w:sz w:val="32"/>
          <w:szCs w:val="32"/>
        </w:rPr>
        <w:fldChar w:fldCharType="end"/>
      </w:r>
    </w:p>
    <w:p>
      <w:pPr>
        <w:ind w:firstLine="1050" w:firstLineChars="500"/>
        <w:rPr>
          <w:rFonts w:hint="eastAsia"/>
        </w:rPr>
      </w:pPr>
    </w:p>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94A71"/>
    <w:multiLevelType w:val="multilevel"/>
    <w:tmpl w:val="5DB94A71"/>
    <w:lvl w:ilvl="0" w:tentative="0">
      <w:start w:val="1"/>
      <w:numFmt w:val="decimal"/>
      <w:lvlText w:val="%1."/>
      <w:lvlJc w:val="left"/>
      <w:rPr>
        <w:rFonts w:hint="default"/>
      </w:rPr>
    </w:lvl>
    <w:lvl w:ilvl="1" w:tentative="0">
      <w:start w:val="1"/>
      <w:numFmt w:val="decimal"/>
      <w:lvlText w:val="%1.%2"/>
      <w:lvlJc w:val="left"/>
      <w:rPr>
        <w:rFonts w:hint="default"/>
      </w:rPr>
    </w:lvl>
    <w:lvl w:ilvl="2" w:tentative="0">
      <w:start w:val="1"/>
      <w:numFmt w:val="decimal"/>
      <w:lvlText w:val="%1.%2.%3"/>
      <w:lvlJc w:val="left"/>
      <w:rPr>
        <w:rFonts w:hint="default" w:ascii="宋体" w:hAnsi="宋体" w:eastAsia="宋体" w:cs="宋体"/>
      </w:rPr>
    </w:lvl>
    <w:lvl w:ilvl="3" w:tentative="0">
      <w:start w:val="1"/>
      <w:numFmt w:val="decimal"/>
      <w:lvlRestart w:val="2"/>
      <w:pStyle w:val="10"/>
      <w:lvlText w:val="3.2.%4"/>
      <w:lvlJc w:val="left"/>
      <w:rPr>
        <w:rFonts w:hint="default" w:ascii="宋体" w:hAnsi="宋体" w:eastAsia="宋体" w:cs="宋体"/>
        <w:sz w:val="28"/>
        <w:szCs w:val="28"/>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5DB955CA"/>
    <w:multiLevelType w:val="multilevel"/>
    <w:tmpl w:val="5DB955CA"/>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2"/>
      <w:lvlText w:val="3.2.%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2">
    <w:nsid w:val="5DC1398F"/>
    <w:multiLevelType w:val="multilevel"/>
    <w:tmpl w:val="5DC1398F"/>
    <w:lvl w:ilvl="0" w:tentative="0">
      <w:start w:val="1"/>
      <w:numFmt w:val="decimal"/>
      <w:lvlText w:val="2.3.%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8"/>
      <w:lvlText w:val="2.3.%3"/>
      <w:lvlJc w:val="left"/>
      <w:pPr>
        <w:ind w:left="709" w:leftChars="0" w:hanging="709" w:firstLineChars="0"/>
      </w:pPr>
      <w:rPr>
        <w:rFonts w:hint="default" w:ascii="宋体" w:hAnsi="宋体" w:eastAsia="宋体" w:cs="宋体"/>
        <w:sz w:val="24"/>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3">
    <w:nsid w:val="5DC28EE4"/>
    <w:multiLevelType w:val="multilevel"/>
    <w:tmpl w:val="5DC28EE4"/>
    <w:lvl w:ilvl="0" w:tentative="0">
      <w:start w:val="1"/>
      <w:numFmt w:val="decimal"/>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9"/>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DC93E71"/>
    <w:multiLevelType w:val="multilevel"/>
    <w:tmpl w:val="5DC93E71"/>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4"/>
      <w:lvlText w:val="4.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5">
    <w:nsid w:val="5DC93EB0"/>
    <w:multiLevelType w:val="multilevel"/>
    <w:tmpl w:val="5DC93EB0"/>
    <w:lvl w:ilvl="0" w:tentative="0">
      <w:start w:val="1"/>
      <w:numFmt w:val="decimal"/>
      <w:pStyle w:val="13"/>
      <w:lvlText w:val="4.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lvlText w:val="3.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6">
    <w:nsid w:val="5DE63361"/>
    <w:multiLevelType w:val="multilevel"/>
    <w:tmpl w:val="5DE63361"/>
    <w:lvl w:ilvl="0" w:tentative="0">
      <w:start w:val="1"/>
      <w:numFmt w:val="decimal"/>
      <w:pStyle w:val="16"/>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5"/>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DE64234"/>
    <w:multiLevelType w:val="multilevel"/>
    <w:tmpl w:val="5DE64234"/>
    <w:lvl w:ilvl="0" w:tentative="0">
      <w:start w:val="1"/>
      <w:numFmt w:val="decimal"/>
      <w:suff w:val="space"/>
      <w:lvlText w:val="第%1章"/>
      <w:lvlJc w:val="left"/>
      <w:pPr>
        <w:tabs>
          <w:tab w:val="left" w:pos="0"/>
        </w:tabs>
        <w:ind w:left="284" w:firstLine="0"/>
      </w:pPr>
      <w:rPr>
        <w:rFonts w:hint="default"/>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1"/>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70AD47" w:themeColor="accent6"/>
        <w:spacing w:val="0"/>
        <w:w w:val="1"/>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6"/>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DE651F5"/>
    <w:multiLevelType w:val="multilevel"/>
    <w:tmpl w:val="5DE651F5"/>
    <w:lvl w:ilvl="0" w:tentative="0">
      <w:start w:val="1"/>
      <w:numFmt w:val="decimal"/>
      <w:suff w:val="space"/>
      <w:lvlText w:val="第%1章"/>
      <w:lvlJc w:val="left"/>
      <w:pPr>
        <w:tabs>
          <w:tab w:val="left" w:pos="0"/>
        </w:tabs>
        <w:ind w:left="284" w:firstLine="0"/>
      </w:pPr>
      <w:rPr>
        <w:rFonts w:hint="default"/>
      </w:rPr>
    </w:lvl>
    <w:lvl w:ilvl="1" w:tentative="0">
      <w:start w:val="1"/>
      <w:numFmt w:val="decimal"/>
      <w:pStyle w:val="4"/>
      <w:suff w:val="space"/>
      <w:lvlText w:val="%1.%2"/>
      <w:lvlJc w:val="left"/>
      <w:pPr>
        <w:tabs>
          <w:tab w:val="left" w:pos="0"/>
        </w:tabs>
        <w:ind w:left="0" w:firstLine="0"/>
      </w:pPr>
      <w:rPr>
        <w:rFonts w:hint="default" w:ascii="宋体" w:hAnsi="宋体" w:eastAsia="宋体" w:cs="宋体"/>
        <w:b/>
        <w:color w:val="548235" w:themeColor="accent6" w:themeShade="BF"/>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DE65365"/>
    <w:multiLevelType w:val="multilevel"/>
    <w:tmpl w:val="5DE65365"/>
    <w:lvl w:ilvl="0" w:tentative="0">
      <w:start w:val="1"/>
      <w:numFmt w:val="decimal"/>
      <w:lvlText w:val="%1."/>
      <w:lvlJc w:val="left"/>
      <w:pPr>
        <w:ind w:left="425" w:leftChars="0" w:hanging="425" w:firstLineChars="0"/>
      </w:pPr>
      <w:rPr>
        <w:rFonts w:hint="default"/>
      </w:rPr>
    </w:lvl>
    <w:lvl w:ilvl="1" w:tentative="0">
      <w:start w:val="1"/>
      <w:numFmt w:val="decimal"/>
      <w:pStyle w:val="3"/>
      <w:suff w:val="space"/>
      <w:lvlText w:val="%1.%2."/>
      <w:lvlJc w:val="left"/>
      <w:pPr>
        <w:tabs>
          <w:tab w:val="left" w:pos="0"/>
        </w:tabs>
        <w:ind w:left="567" w:leftChars="0" w:hanging="567" w:firstLineChars="0"/>
      </w:pPr>
      <w:rPr>
        <w:rFonts w:hint="default"/>
        <w:color w:val="92D050"/>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0">
    <w:nsid w:val="5DE65393"/>
    <w:multiLevelType w:val="multilevel"/>
    <w:tmpl w:val="5DE65393"/>
    <w:lvl w:ilvl="0" w:tentative="0">
      <w:start w:val="1"/>
      <w:numFmt w:val="chineseCountingThousand"/>
      <w:pStyle w:val="2"/>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DE65AB1"/>
    <w:multiLevelType w:val="multilevel"/>
    <w:tmpl w:val="5DE65AB1"/>
    <w:lvl w:ilvl="0" w:tentative="0">
      <w:start w:val="1"/>
      <w:numFmt w:val="decimal"/>
      <w:suff w:val="space"/>
      <w:lvlText w:val="第%1章"/>
      <w:lvlJc w:val="left"/>
      <w:pPr>
        <w:ind w:left="284" w:firstLine="0"/>
      </w:pPr>
      <w:rPr>
        <w:rFonts w:hint="eastAsia"/>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6"/>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DE70252"/>
    <w:multiLevelType w:val="multilevel"/>
    <w:tmpl w:val="5DE70252"/>
    <w:lvl w:ilvl="0" w:tentative="0">
      <w:start w:val="1"/>
      <w:numFmt w:val="decimal"/>
      <w:suff w:val="space"/>
      <w:lvlText w:val="第%1章"/>
      <w:lvlJc w:val="left"/>
      <w:pPr>
        <w:tabs>
          <w:tab w:val="left" w:pos="0"/>
        </w:tabs>
        <w:ind w:left="284" w:firstLine="0"/>
      </w:pPr>
      <w:rPr>
        <w:rFonts w:hint="default" w:ascii="宋体" w:hAnsi="宋体" w:eastAsia="宋体" w:cs="宋体"/>
      </w:rPr>
    </w:lvl>
    <w:lvl w:ilvl="1" w:tentative="0">
      <w:start w:val="1"/>
      <w:numFmt w:val="decimal"/>
      <w:pStyle w:val="27"/>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DE70799"/>
    <w:multiLevelType w:val="multilevel"/>
    <w:tmpl w:val="5DE70799"/>
    <w:lvl w:ilvl="0" w:tentative="0">
      <w:start w:val="1"/>
      <w:numFmt w:val="chineseCounting"/>
      <w:pStyle w:val="28"/>
      <w:suff w:val="space"/>
      <w:lvlText w:val="%1"/>
      <w:lvlJc w:val="left"/>
      <w:pPr>
        <w:tabs>
          <w:tab w:val="left" w:pos="0"/>
        </w:tabs>
        <w:ind w:left="284" w:firstLine="0"/>
      </w:pPr>
      <w:rPr>
        <w:rFonts w:hint="eastAsia" w:ascii="宋体" w:hAnsi="宋体" w:eastAsia="宋体" w:cs="宋体"/>
      </w:rPr>
    </w:lvl>
    <w:lvl w:ilvl="1" w:tentative="0">
      <w:start w:val="1"/>
      <w:numFmt w:val="decimal"/>
      <w:pStyle w:val="30"/>
      <w:isLgl/>
      <w:suff w:val="space"/>
      <w:lvlText w:val="%1.%2"/>
      <w:lvlJc w:val="left"/>
      <w:pPr>
        <w:tabs>
          <w:tab w:val="left" w:pos="0"/>
        </w:tabs>
        <w:ind w:left="0" w:firstLine="0"/>
      </w:pPr>
      <w:rPr>
        <w:rFonts w:hint="eastAsia" w:ascii="宋体" w:hAnsi="宋体" w:eastAsia="宋体" w:cs="宋体"/>
        <w:b/>
        <w:color w:val="E36C09"/>
      </w:rPr>
    </w:lvl>
    <w:lvl w:ilvl="2" w:tentative="0">
      <w:start w:val="1"/>
      <w:numFmt w:val="decimal"/>
      <w:pStyle w:val="29"/>
      <w:isLgl/>
      <w:suff w:val="space"/>
      <w:lvlText w:val="%1.%2.%3"/>
      <w:lvlJc w:val="left"/>
      <w:pPr>
        <w:tabs>
          <w:tab w:val="left" w:pos="0"/>
        </w:tabs>
        <w:ind w:left="0" w:firstLine="0"/>
      </w:pPr>
      <w:rPr>
        <w:rFonts w:hint="eastAsia"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DE7106C"/>
    <w:multiLevelType w:val="multilevel"/>
    <w:tmpl w:val="5DE7106C"/>
    <w:lvl w:ilvl="0" w:tentative="0">
      <w:start w:val="1"/>
      <w:numFmt w:val="decimal"/>
      <w:suff w:val="space"/>
      <w:lvlText w:val="第%1章"/>
      <w:lvlJc w:val="left"/>
      <w:pPr>
        <w:ind w:left="284" w:firstLine="0"/>
      </w:pPr>
      <w:rPr>
        <w:rFonts w:hint="eastAsia"/>
      </w:rPr>
    </w:lvl>
    <w:lvl w:ilvl="1" w:tentative="0">
      <w:start w:val="1"/>
      <w:numFmt w:val="decimal"/>
      <w:pStyle w:val="22"/>
      <w:suff w:val="space"/>
      <w:lvlText w:val="%1.%2"/>
      <w:lvlJc w:val="left"/>
      <w:pPr>
        <w:ind w:left="0" w:firstLine="0"/>
      </w:pPr>
      <w:rPr>
        <w:rFonts w:hint="eastAsia"/>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DE719DA"/>
    <w:multiLevelType w:val="multilevel"/>
    <w:tmpl w:val="5DE719DA"/>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b/>
        <w:color w:val="E36C09"/>
      </w:rPr>
    </w:lvl>
    <w:lvl w:ilvl="2" w:tentative="0">
      <w:start w:val="1"/>
      <w:numFmt w:val="decimal"/>
      <w:pStyle w:val="23"/>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DE71A60"/>
    <w:multiLevelType w:val="multilevel"/>
    <w:tmpl w:val="5DE71A60"/>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1"/>
      <w:suff w:val="space"/>
      <w:lvlText w:val="%1.%2"/>
      <w:lvlJc w:val="left"/>
      <w:pPr>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E71B78"/>
    <w:multiLevelType w:val="multilevel"/>
    <w:tmpl w:val="5DE71B78"/>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3"/>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pStyle w:val="32"/>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E74122"/>
    <w:multiLevelType w:val="multilevel"/>
    <w:tmpl w:val="5DE74122"/>
    <w:lvl w:ilvl="0" w:tentative="0">
      <w:start w:val="1"/>
      <w:numFmt w:val="decimal"/>
      <w:pStyle w:val="24"/>
      <w:suff w:val="space"/>
      <w:lvlText w:val="%1."/>
      <w:lvlJc w:val="left"/>
      <w:pPr>
        <w:tabs>
          <w:tab w:val="left" w:pos="0"/>
        </w:tabs>
        <w:ind w:left="284" w:firstLine="0"/>
      </w:pPr>
      <w:rPr>
        <w:rFonts w:hint="default" w:ascii="宋体" w:hAnsi="宋体" w:eastAsia="宋体" w:cs="宋体"/>
      </w:rPr>
    </w:lvl>
    <w:lvl w:ilvl="1" w:tentative="0">
      <w:start w:val="1"/>
      <w:numFmt w:val="decimal"/>
      <w:pStyle w:val="35"/>
      <w:isLgl/>
      <w:suff w:val="space"/>
      <w:lvlText w:val="%1.%2"/>
      <w:lvlJc w:val="left"/>
      <w:pPr>
        <w:tabs>
          <w:tab w:val="left" w:pos="0"/>
        </w:tabs>
        <w:ind w:left="0" w:firstLine="0"/>
      </w:pPr>
      <w:rPr>
        <w:rFonts w:hint="default" w:ascii="宋体" w:hAnsi="宋体" w:eastAsia="宋体" w:cs="宋体"/>
        <w:b/>
        <w:color w:val="auto"/>
      </w:rPr>
    </w:lvl>
    <w:lvl w:ilvl="2" w:tentative="0">
      <w:start w:val="1"/>
      <w:numFmt w:val="decimal"/>
      <w:pStyle w:val="36"/>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100"/>
        <w:kern w:val="0"/>
        <w:position w:val="0"/>
        <w:sz w:val="28"/>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8"/>
  </w:num>
  <w:num w:numId="3">
    <w:abstractNumId w:val="9"/>
  </w:num>
  <w:num w:numId="4">
    <w:abstractNumId w:val="0"/>
  </w:num>
  <w:num w:numId="5">
    <w:abstractNumId w:val="1"/>
  </w:num>
  <w:num w:numId="6">
    <w:abstractNumId w:val="5"/>
  </w:num>
  <w:num w:numId="7">
    <w:abstractNumId w:val="4"/>
  </w:num>
  <w:num w:numId="8">
    <w:abstractNumId w:val="6"/>
  </w:num>
  <w:num w:numId="9">
    <w:abstractNumId w:val="2"/>
  </w:num>
  <w:num w:numId="10">
    <w:abstractNumId w:val="3"/>
  </w:num>
  <w:num w:numId="11">
    <w:abstractNumId w:val="7"/>
  </w:num>
  <w:num w:numId="12">
    <w:abstractNumId w:val="14"/>
  </w:num>
  <w:num w:numId="13">
    <w:abstractNumId w:val="15"/>
  </w:num>
  <w:num w:numId="14">
    <w:abstractNumId w:val="18"/>
  </w:num>
  <w:num w:numId="15">
    <w:abstractNumId w:val="11"/>
  </w:num>
  <w:num w:numId="16">
    <w:abstractNumId w:val="12"/>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21C0B"/>
    <w:rsid w:val="01452376"/>
    <w:rsid w:val="02C8299D"/>
    <w:rsid w:val="02E04CA9"/>
    <w:rsid w:val="02EF11AE"/>
    <w:rsid w:val="02F25558"/>
    <w:rsid w:val="041F3BA0"/>
    <w:rsid w:val="04D333C3"/>
    <w:rsid w:val="05646C46"/>
    <w:rsid w:val="05BC418F"/>
    <w:rsid w:val="06AF24D7"/>
    <w:rsid w:val="074403A6"/>
    <w:rsid w:val="077C78E1"/>
    <w:rsid w:val="081238D2"/>
    <w:rsid w:val="08381EC1"/>
    <w:rsid w:val="08517EA8"/>
    <w:rsid w:val="08772A55"/>
    <w:rsid w:val="0A9B6287"/>
    <w:rsid w:val="0BC84C05"/>
    <w:rsid w:val="0C167A10"/>
    <w:rsid w:val="0C1D0915"/>
    <w:rsid w:val="0C2621B6"/>
    <w:rsid w:val="0C66160F"/>
    <w:rsid w:val="0D3D7E38"/>
    <w:rsid w:val="0DA61F52"/>
    <w:rsid w:val="0F630419"/>
    <w:rsid w:val="0FE707B9"/>
    <w:rsid w:val="10A1679D"/>
    <w:rsid w:val="11D32E9B"/>
    <w:rsid w:val="14EF4871"/>
    <w:rsid w:val="164A1596"/>
    <w:rsid w:val="17CE22CB"/>
    <w:rsid w:val="18EB3612"/>
    <w:rsid w:val="193D3977"/>
    <w:rsid w:val="196069E7"/>
    <w:rsid w:val="19E85649"/>
    <w:rsid w:val="1C80454B"/>
    <w:rsid w:val="1CCC10A9"/>
    <w:rsid w:val="1D4319A9"/>
    <w:rsid w:val="1E2B04ED"/>
    <w:rsid w:val="1E302CE6"/>
    <w:rsid w:val="1F0F4D7D"/>
    <w:rsid w:val="1F1870E6"/>
    <w:rsid w:val="204C4581"/>
    <w:rsid w:val="21335A95"/>
    <w:rsid w:val="21E73078"/>
    <w:rsid w:val="22682003"/>
    <w:rsid w:val="22E50330"/>
    <w:rsid w:val="231123FF"/>
    <w:rsid w:val="245F552F"/>
    <w:rsid w:val="26691417"/>
    <w:rsid w:val="27C272F9"/>
    <w:rsid w:val="291340E3"/>
    <w:rsid w:val="2966572E"/>
    <w:rsid w:val="2B362502"/>
    <w:rsid w:val="2D6178F5"/>
    <w:rsid w:val="2D9E142D"/>
    <w:rsid w:val="2E4F2682"/>
    <w:rsid w:val="31952AC3"/>
    <w:rsid w:val="33914E7D"/>
    <w:rsid w:val="340D6851"/>
    <w:rsid w:val="374D0DCC"/>
    <w:rsid w:val="37932BC9"/>
    <w:rsid w:val="381C0C90"/>
    <w:rsid w:val="38F323BC"/>
    <w:rsid w:val="39223B62"/>
    <w:rsid w:val="39834652"/>
    <w:rsid w:val="3A184529"/>
    <w:rsid w:val="3A7F557F"/>
    <w:rsid w:val="3B5A3C4B"/>
    <w:rsid w:val="3D231A7D"/>
    <w:rsid w:val="3D96019B"/>
    <w:rsid w:val="3E537AA3"/>
    <w:rsid w:val="3ECE40BE"/>
    <w:rsid w:val="3F870BF9"/>
    <w:rsid w:val="429E0C0D"/>
    <w:rsid w:val="43921C0B"/>
    <w:rsid w:val="446664B7"/>
    <w:rsid w:val="45BE41CB"/>
    <w:rsid w:val="480D6355"/>
    <w:rsid w:val="492E7BAD"/>
    <w:rsid w:val="49841629"/>
    <w:rsid w:val="4AD26F4C"/>
    <w:rsid w:val="4B7321E9"/>
    <w:rsid w:val="4CF0774F"/>
    <w:rsid w:val="4EDA066A"/>
    <w:rsid w:val="50205D0B"/>
    <w:rsid w:val="507D3563"/>
    <w:rsid w:val="51A240F3"/>
    <w:rsid w:val="534C57B6"/>
    <w:rsid w:val="54D31041"/>
    <w:rsid w:val="5639585D"/>
    <w:rsid w:val="5641039C"/>
    <w:rsid w:val="56764543"/>
    <w:rsid w:val="56FC5297"/>
    <w:rsid w:val="57FD3524"/>
    <w:rsid w:val="583A056C"/>
    <w:rsid w:val="58963727"/>
    <w:rsid w:val="5A021B39"/>
    <w:rsid w:val="5AA62865"/>
    <w:rsid w:val="5BCD0EFD"/>
    <w:rsid w:val="5C612ADB"/>
    <w:rsid w:val="5D8B1366"/>
    <w:rsid w:val="5F2A6763"/>
    <w:rsid w:val="5F697097"/>
    <w:rsid w:val="5F730D42"/>
    <w:rsid w:val="61E52D79"/>
    <w:rsid w:val="62052B44"/>
    <w:rsid w:val="640C342F"/>
    <w:rsid w:val="65B26EC4"/>
    <w:rsid w:val="66433624"/>
    <w:rsid w:val="674178A2"/>
    <w:rsid w:val="68FB4711"/>
    <w:rsid w:val="6AC25E46"/>
    <w:rsid w:val="6C886506"/>
    <w:rsid w:val="6D253274"/>
    <w:rsid w:val="6D77157D"/>
    <w:rsid w:val="6D7B76C7"/>
    <w:rsid w:val="6E9709C1"/>
    <w:rsid w:val="6F4C092C"/>
    <w:rsid w:val="7038185B"/>
    <w:rsid w:val="72775DAD"/>
    <w:rsid w:val="72AD4576"/>
    <w:rsid w:val="7535161D"/>
    <w:rsid w:val="757A2895"/>
    <w:rsid w:val="77C579D5"/>
    <w:rsid w:val="79884384"/>
    <w:rsid w:val="79E11684"/>
    <w:rsid w:val="79FE453D"/>
    <w:rsid w:val="79FF7EB0"/>
    <w:rsid w:val="7B275DBF"/>
    <w:rsid w:val="7CC10DA4"/>
    <w:rsid w:val="7F6B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3"/>
    <w:link w:val="25"/>
    <w:qFormat/>
    <w:uiPriority w:val="0"/>
    <w:pPr>
      <w:keepNext/>
      <w:keepLines/>
      <w:numPr>
        <w:ilvl w:val="0"/>
        <w:numId w:val="1"/>
      </w:numPr>
      <w:spacing w:before="100" w:beforeLines="100"/>
      <w:jc w:val="center"/>
      <w:outlineLvl w:val="0"/>
    </w:pPr>
    <w:rPr>
      <w:rFonts w:ascii="Times New Roman" w:hAnsi="Times New Roman" w:eastAsia="宋体"/>
      <w:b/>
      <w:kern w:val="44"/>
      <w:sz w:val="36"/>
      <w:szCs w:val="44"/>
    </w:rPr>
  </w:style>
  <w:style w:type="paragraph" w:styleId="4">
    <w:name w:val="heading 2"/>
    <w:basedOn w:val="2"/>
    <w:next w:val="1"/>
    <w:unhideWhenUsed/>
    <w:qFormat/>
    <w:uiPriority w:val="0"/>
    <w:pPr>
      <w:numPr>
        <w:ilvl w:val="1"/>
        <w:numId w:val="2"/>
      </w:numPr>
      <w:spacing w:before="120" w:after="120" w:line="480" w:lineRule="auto"/>
      <w:ind w:rightChars="100"/>
      <w:jc w:val="center"/>
      <w:outlineLvl w:val="1"/>
    </w:pPr>
    <w:rPr>
      <w:rFonts w:ascii="Arial" w:hAnsi="Arial" w:eastAsia="黑体"/>
      <w:b w:val="0"/>
      <w:sz w:val="28"/>
      <w:szCs w:val="32"/>
    </w:rPr>
  </w:style>
  <w:style w:type="character" w:default="1" w:styleId="8">
    <w:name w:val="Default Paragraph Font"/>
    <w:semiHidden/>
    <w:qFormat/>
    <w:uiPriority w:val="0"/>
    <w:rPr>
      <w:rFonts w:ascii="Times New Roman" w:hAnsi="Times New Roman" w:eastAsia="宋体"/>
      <w:b/>
      <w:sz w:val="21"/>
      <w:szCs w:val="22"/>
    </w:rPr>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2级编号"/>
    <w:basedOn w:val="1"/>
    <w:next w:val="2"/>
    <w:qFormat/>
    <w:uiPriority w:val="0"/>
    <w:pPr>
      <w:numPr>
        <w:ilvl w:val="1"/>
        <w:numId w:val="3"/>
      </w:numPr>
      <w:ind w:left="567" w:hanging="567"/>
      <w:jc w:val="both"/>
    </w:pPr>
    <w:rPr>
      <w:rFonts w:ascii="Times New Roman" w:hAnsi="Times New Roman" w:eastAsia="宋体"/>
      <w:sz w:val="24"/>
      <w:szCs w:val="22"/>
    </w:rPr>
  </w:style>
  <w:style w:type="paragraph" w:styleId="5">
    <w:name w:val="table of authorities"/>
    <w:basedOn w:val="1"/>
    <w:next w:val="1"/>
    <w:qFormat/>
    <w:uiPriority w:val="0"/>
    <w:pPr>
      <w:ind w:left="420" w:leftChars="20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character" w:styleId="9">
    <w:name w:val="Hyperlink"/>
    <w:basedOn w:val="8"/>
    <w:uiPriority w:val="0"/>
    <w:rPr>
      <w:color w:val="0000FF"/>
      <w:u w:val="single"/>
    </w:rPr>
  </w:style>
  <w:style w:type="paragraph" w:customStyle="1" w:styleId="10">
    <w:name w:val="测试3级目录"/>
    <w:basedOn w:val="1"/>
    <w:qFormat/>
    <w:uiPriority w:val="0"/>
    <w:pPr>
      <w:numPr>
        <w:ilvl w:val="3"/>
        <w:numId w:val="4"/>
      </w:numPr>
      <w:outlineLvl w:val="2"/>
    </w:pPr>
    <w:rPr>
      <w:rFonts w:ascii="Times New Roman" w:hAnsi="Times New Roman" w:eastAsia="宋体" w:cs="Times New Roman"/>
      <w:b/>
      <w:sz w:val="28"/>
    </w:rPr>
  </w:style>
  <w:style w:type="paragraph" w:customStyle="1" w:styleId="11">
    <w:name w:val="一览表"/>
    <w:basedOn w:val="1"/>
    <w:qFormat/>
    <w:uiPriority w:val="0"/>
    <w:pPr>
      <w:ind w:left="992" w:hanging="992"/>
      <w:jc w:val="center"/>
    </w:pPr>
    <w:rPr>
      <w:rFonts w:ascii="Times New Roman" w:hAnsi="Times New Roman" w:eastAsia="宋体" w:cs="Times New Roman"/>
      <w:b/>
    </w:rPr>
  </w:style>
  <w:style w:type="paragraph" w:customStyle="1" w:styleId="12">
    <w:name w:val="测试报告一览表"/>
    <w:basedOn w:val="1"/>
    <w:qFormat/>
    <w:uiPriority w:val="0"/>
    <w:pPr>
      <w:numPr>
        <w:ilvl w:val="2"/>
        <w:numId w:val="5"/>
      </w:numPr>
      <w:ind w:left="709" w:hanging="709"/>
    </w:pPr>
    <w:rPr>
      <w:b/>
      <w:sz w:val="28"/>
    </w:rPr>
  </w:style>
  <w:style w:type="paragraph" w:customStyle="1" w:styleId="13">
    <w:name w:val="测试报告3级目录"/>
    <w:basedOn w:val="1"/>
    <w:qFormat/>
    <w:uiPriority w:val="0"/>
    <w:pPr>
      <w:numPr>
        <w:ilvl w:val="0"/>
        <w:numId w:val="6"/>
      </w:numPr>
      <w:ind w:left="425" w:hanging="425"/>
      <w:outlineLvl w:val="2"/>
    </w:pPr>
    <w:rPr>
      <w:rFonts w:ascii="Times New Roman" w:hAnsi="Times New Roman" w:eastAsia="宋体" w:cs="Times New Roman"/>
      <w:b/>
      <w:sz w:val="28"/>
    </w:rPr>
  </w:style>
  <w:style w:type="paragraph" w:customStyle="1" w:styleId="14">
    <w:name w:val="3.1.1"/>
    <w:basedOn w:val="1"/>
    <w:qFormat/>
    <w:uiPriority w:val="0"/>
    <w:pPr>
      <w:numPr>
        <w:ilvl w:val="2"/>
        <w:numId w:val="7"/>
      </w:numPr>
      <w:ind w:left="709" w:hanging="709"/>
      <w:outlineLvl w:val="2"/>
    </w:pPr>
    <w:rPr>
      <w:rFonts w:ascii="Times New Roman" w:hAnsi="Times New Roman" w:eastAsia="宋体" w:cs="Times New Roman"/>
      <w:b/>
      <w:sz w:val="28"/>
    </w:rPr>
  </w:style>
  <w:style w:type="paragraph" w:customStyle="1" w:styleId="15">
    <w:name w:val="监测报告2.3.1"/>
    <w:basedOn w:val="1"/>
    <w:link w:val="17"/>
    <w:qFormat/>
    <w:uiPriority w:val="0"/>
    <w:pPr>
      <w:numPr>
        <w:ilvl w:val="2"/>
        <w:numId w:val="8"/>
      </w:numPr>
      <w:ind w:left="709" w:hanging="709"/>
      <w:jc w:val="left"/>
      <w:outlineLvl w:val="2"/>
    </w:pPr>
    <w:rPr>
      <w:rFonts w:ascii="Calibri" w:hAnsi="Calibri" w:eastAsia="宋体"/>
      <w:color w:val="auto"/>
      <w:kern w:val="1"/>
      <w:sz w:val="24"/>
      <w:szCs w:val="22"/>
    </w:rPr>
  </w:style>
  <w:style w:type="paragraph" w:customStyle="1" w:styleId="16">
    <w:name w:val="无间隔4"/>
    <w:basedOn w:val="1"/>
    <w:qFormat/>
    <w:uiPriority w:val="0"/>
    <w:pPr>
      <w:numPr>
        <w:ilvl w:val="0"/>
        <w:numId w:val="8"/>
      </w:numPr>
      <w:ind w:left="425" w:hanging="425"/>
    </w:pPr>
    <w:rPr>
      <w:b/>
      <w:sz w:val="28"/>
    </w:rPr>
  </w:style>
  <w:style w:type="character" w:customStyle="1" w:styleId="17">
    <w:name w:val="监测报告2.3.1 Char"/>
    <w:link w:val="15"/>
    <w:qFormat/>
    <w:uiPriority w:val="0"/>
    <w:rPr>
      <w:rFonts w:ascii="Calibri" w:hAnsi="Calibri" w:eastAsia="宋体"/>
      <w:color w:val="auto"/>
      <w:kern w:val="1"/>
      <w:sz w:val="24"/>
      <w:szCs w:val="22"/>
    </w:rPr>
  </w:style>
  <w:style w:type="paragraph" w:customStyle="1" w:styleId="18">
    <w:name w:val="样式1"/>
    <w:basedOn w:val="15"/>
    <w:qFormat/>
    <w:uiPriority w:val="0"/>
    <w:pPr>
      <w:numPr>
        <w:numId w:val="9"/>
      </w:numPr>
    </w:pPr>
    <w:rPr>
      <w:rFonts w:ascii="Calibri" w:hAnsi="Calibri" w:cs="Times New Roman"/>
      <w:color w:val="000000" w:themeColor="text1"/>
      <w:sz w:val="24"/>
      <w14:textFill>
        <w14:solidFill>
          <w14:schemeClr w14:val="tx1"/>
        </w14:solidFill>
      </w14:textFill>
    </w:rPr>
  </w:style>
  <w:style w:type="paragraph" w:customStyle="1" w:styleId="19">
    <w:name w:val="样式2"/>
    <w:basedOn w:val="15"/>
    <w:link w:val="20"/>
    <w:qFormat/>
    <w:uiPriority w:val="0"/>
    <w:pPr>
      <w:numPr>
        <w:numId w:val="10"/>
      </w:numPr>
    </w:pPr>
    <w:rPr>
      <w:rFonts w:ascii="Arial" w:hAnsi="Arial"/>
    </w:rPr>
  </w:style>
  <w:style w:type="character" w:customStyle="1" w:styleId="20">
    <w:name w:val="样式2 Char"/>
    <w:link w:val="19"/>
    <w:qFormat/>
    <w:uiPriority w:val="0"/>
    <w:rPr>
      <w:rFonts w:ascii="Arial" w:hAnsi="Arial" w:eastAsia="宋体"/>
    </w:rPr>
  </w:style>
  <w:style w:type="paragraph" w:customStyle="1" w:styleId="21">
    <w:name w:val="3级"/>
    <w:basedOn w:val="4"/>
    <w:qFormat/>
    <w:uiPriority w:val="0"/>
    <w:pPr>
      <w:numPr>
        <w:ilvl w:val="2"/>
        <w:numId w:val="11"/>
      </w:numPr>
    </w:pPr>
    <w:rPr>
      <w:rFonts w:ascii="宋体" w:hAnsi="宋体" w:eastAsia="宋体" w:cs="宋体"/>
      <w:bCs/>
      <w:kern w:val="1"/>
      <w:sz w:val="28"/>
      <w:szCs w:val="44"/>
    </w:rPr>
  </w:style>
  <w:style w:type="paragraph" w:customStyle="1" w:styleId="22">
    <w:name w:val="2级"/>
    <w:basedOn w:val="1"/>
    <w:qFormat/>
    <w:uiPriority w:val="0"/>
    <w:pPr>
      <w:numPr>
        <w:ilvl w:val="1"/>
        <w:numId w:val="12"/>
      </w:numPr>
    </w:pPr>
    <w:rPr>
      <w:b/>
      <w:sz w:val="28"/>
    </w:rPr>
  </w:style>
  <w:style w:type="paragraph" w:customStyle="1" w:styleId="23">
    <w:name w:val="3级测试报告"/>
    <w:basedOn w:val="4"/>
    <w:qFormat/>
    <w:uiPriority w:val="0"/>
    <w:pPr>
      <w:numPr>
        <w:ilvl w:val="2"/>
        <w:numId w:val="13"/>
      </w:numPr>
      <w:spacing w:before="100"/>
      <w:ind w:left="0" w:firstLine="0"/>
    </w:pPr>
    <w:rPr>
      <w:rFonts w:ascii="宋体" w:hAnsi="宋体" w:eastAsia="宋体" w:cs="宋体"/>
      <w:b/>
      <w:bCs/>
      <w:color w:val="A9D18E" w:themeColor="accent6" w:themeTint="99"/>
      <w:kern w:val="1"/>
      <w:szCs w:val="44"/>
      <w14:textFill>
        <w14:solidFill>
          <w14:schemeClr w14:val="accent6">
            <w14:lumMod w14:val="60000"/>
            <w14:lumOff w14:val="40000"/>
          </w14:schemeClr>
        </w14:solidFill>
      </w14:textFill>
    </w:rPr>
  </w:style>
  <w:style w:type="paragraph" w:customStyle="1" w:styleId="24">
    <w:name w:val="一级标题"/>
    <w:basedOn w:val="1"/>
    <w:link w:val="34"/>
    <w:qFormat/>
    <w:uiPriority w:val="0"/>
    <w:pPr>
      <w:numPr>
        <w:ilvl w:val="0"/>
        <w:numId w:val="14"/>
      </w:numPr>
      <w:spacing w:line="240" w:lineRule="auto"/>
      <w:ind w:left="284"/>
      <w:jc w:val="left"/>
    </w:pPr>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character" w:customStyle="1" w:styleId="25">
    <w:name w:val="标题 1 Char"/>
    <w:link w:val="2"/>
    <w:qFormat/>
    <w:uiPriority w:val="0"/>
    <w:rPr>
      <w:rFonts w:ascii="Times New Roman" w:hAnsi="Times New Roman" w:eastAsia="宋体"/>
      <w:b/>
      <w:kern w:val="44"/>
      <w:sz w:val="36"/>
      <w:szCs w:val="44"/>
    </w:rPr>
  </w:style>
  <w:style w:type="paragraph" w:customStyle="1" w:styleId="26">
    <w:name w:val="样式3"/>
    <w:basedOn w:val="23"/>
    <w:qFormat/>
    <w:uiPriority w:val="0"/>
    <w:pPr>
      <w:numPr>
        <w:numId w:val="15"/>
      </w:numPr>
    </w:pPr>
    <w:rPr>
      <w:color w:val="A9D18E" w:themeColor="accent6" w:themeTint="99"/>
      <w14:textFill>
        <w14:solidFill>
          <w14:schemeClr w14:val="accent6">
            <w14:lumMod w14:val="60000"/>
            <w14:lumOff w14:val="40000"/>
          </w14:schemeClr>
        </w14:solidFill>
      </w14:textFill>
    </w:rPr>
  </w:style>
  <w:style w:type="paragraph" w:customStyle="1" w:styleId="27">
    <w:name w:val="标书一级"/>
    <w:basedOn w:val="4"/>
    <w:qFormat/>
    <w:uiPriority w:val="0"/>
    <w:pPr>
      <w:numPr>
        <w:numId w:val="16"/>
      </w:numPr>
      <w:spacing w:before="100"/>
    </w:pPr>
  </w:style>
  <w:style w:type="paragraph" w:customStyle="1" w:styleId="28">
    <w:name w:val="标书一级目录"/>
    <w:basedOn w:val="1"/>
    <w:qFormat/>
    <w:uiPriority w:val="0"/>
    <w:pPr>
      <w:numPr>
        <w:ilvl w:val="0"/>
        <w:numId w:val="17"/>
      </w:numPr>
      <w:ind w:left="284"/>
    </w:pPr>
    <w:rPr>
      <w:rFonts w:ascii="Times New Roman" w:hAnsi="Times New Roman" w:eastAsia="宋体"/>
      <w:b/>
      <w:sz w:val="21"/>
      <w:szCs w:val="22"/>
    </w:rPr>
  </w:style>
  <w:style w:type="paragraph" w:customStyle="1" w:styleId="29">
    <w:name w:val="标书三级目录"/>
    <w:basedOn w:val="1"/>
    <w:qFormat/>
    <w:uiPriority w:val="0"/>
    <w:pPr>
      <w:numPr>
        <w:ilvl w:val="2"/>
        <w:numId w:val="17"/>
      </w:numPr>
    </w:pPr>
    <w:rPr>
      <w:rFonts w:ascii="Times New Roman" w:hAnsi="Times New Roman" w:eastAsia="宋体"/>
      <w:b/>
      <w:sz w:val="21"/>
      <w:szCs w:val="22"/>
    </w:rPr>
  </w:style>
  <w:style w:type="paragraph" w:customStyle="1" w:styleId="30">
    <w:name w:val="标书二级目录"/>
    <w:basedOn w:val="1"/>
    <w:qFormat/>
    <w:uiPriority w:val="0"/>
    <w:pPr>
      <w:numPr>
        <w:ilvl w:val="1"/>
        <w:numId w:val="17"/>
      </w:numPr>
    </w:pPr>
    <w:rPr>
      <w:rFonts w:ascii="Times New Roman" w:hAnsi="Times New Roman" w:eastAsia="宋体"/>
      <w:b/>
      <w:sz w:val="21"/>
      <w:szCs w:val="22"/>
    </w:rPr>
  </w:style>
  <w:style w:type="paragraph" w:customStyle="1" w:styleId="31">
    <w:name w:val="标题二级"/>
    <w:basedOn w:val="1"/>
    <w:qFormat/>
    <w:uiPriority w:val="0"/>
    <w:pPr>
      <w:numPr>
        <w:ilvl w:val="1"/>
        <w:numId w:val="18"/>
      </w:numPr>
      <w:tabs>
        <w:tab w:val="left" w:pos="0"/>
      </w:tabs>
      <w:spacing w:before="100" w:beforeLines="100" w:after="100" w:afterLines="100"/>
      <w:jc w:val="left"/>
    </w:pPr>
    <w:rPr>
      <w:rFonts w:ascii="Calibri" w:hAnsi="Calibri" w:eastAsia="宋体"/>
      <w:b/>
      <w:kern w:val="1"/>
      <w:sz w:val="44"/>
      <w:szCs w:val="22"/>
    </w:rPr>
  </w:style>
  <w:style w:type="paragraph" w:customStyle="1" w:styleId="32">
    <w:name w:val="标题三级"/>
    <w:basedOn w:val="1"/>
    <w:qFormat/>
    <w:uiPriority w:val="0"/>
    <w:pPr>
      <w:numPr>
        <w:ilvl w:val="2"/>
        <w:numId w:val="19"/>
      </w:numPr>
      <w:spacing w:before="100"/>
      <w:ind w:left="0" w:firstLine="0"/>
    </w:pPr>
    <w:rPr>
      <w:rFonts w:ascii="宋体" w:hAnsi="宋体" w:eastAsia="宋体" w:cs="宋体"/>
      <w:b/>
      <w:bCs/>
      <w:color w:val="000000" w:themeColor="text1"/>
      <w:kern w:val="1"/>
      <w:szCs w:val="44"/>
      <w14:textFill>
        <w14:solidFill>
          <w14:schemeClr w14:val="tx1"/>
        </w14:solidFill>
      </w14:textFill>
    </w:rPr>
  </w:style>
  <w:style w:type="paragraph" w:customStyle="1" w:styleId="33">
    <w:name w:val="标题二级1"/>
    <w:basedOn w:val="1"/>
    <w:qFormat/>
    <w:uiPriority w:val="0"/>
    <w:pPr>
      <w:numPr>
        <w:ilvl w:val="1"/>
        <w:numId w:val="19"/>
      </w:numPr>
      <w:jc w:val="left"/>
    </w:pPr>
    <w:rPr>
      <w:rFonts w:ascii="Calibri" w:hAnsi="Calibri" w:eastAsia="宋体"/>
      <w:b/>
      <w:kern w:val="1"/>
      <w:sz w:val="44"/>
      <w:szCs w:val="22"/>
    </w:rPr>
  </w:style>
  <w:style w:type="character" w:customStyle="1" w:styleId="34">
    <w:name w:val="一级标题 Char"/>
    <w:link w:val="24"/>
    <w:qFormat/>
    <w:uiPriority w:val="0"/>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paragraph" w:customStyle="1" w:styleId="35">
    <w:name w:val="二级标题"/>
    <w:basedOn w:val="1"/>
    <w:qFormat/>
    <w:uiPriority w:val="0"/>
    <w:pPr>
      <w:numPr>
        <w:ilvl w:val="1"/>
        <w:numId w:val="14"/>
      </w:numPr>
      <w:spacing w:before="100" w:beforeLines="100" w:after="100" w:afterLines="100"/>
      <w:jc w:val="left"/>
    </w:pPr>
    <w:rPr>
      <w:rFonts w:ascii="Calibri" w:hAnsi="Calibri" w:eastAsia="宋体" w:cs="Times New Roman"/>
      <w:b/>
      <w:color w:val="auto"/>
      <w:kern w:val="1"/>
      <w:sz w:val="44"/>
      <w:szCs w:val="22"/>
      <w14:textFill>
        <w14:gradFill>
          <w14:gsLst>
            <w14:gs w14:pos="0">
              <w14:srgbClr w14:val="9EE256"/>
            </w14:gs>
            <w14:gs w14:pos="100000">
              <w14:srgbClr w14:val="52762D"/>
            </w14:gs>
          </w14:gsLst>
          <w14:lin w14:ang="5400000" w14:scaled="0"/>
        </w14:gradFill>
      </w14:textFill>
    </w:rPr>
  </w:style>
  <w:style w:type="paragraph" w:customStyle="1" w:styleId="36">
    <w:name w:val="三级标题"/>
    <w:basedOn w:val="4"/>
    <w:qFormat/>
    <w:uiPriority w:val="0"/>
    <w:pPr>
      <w:numPr>
        <w:ilvl w:val="2"/>
        <w:numId w:val="14"/>
      </w:numPr>
      <w:spacing w:before="100"/>
      <w:ind w:left="0" w:firstLine="0"/>
      <w:jc w:val="left"/>
    </w:pPr>
    <w:rPr>
      <w:rFonts w:ascii="宋体" w:hAnsi="宋体" w:eastAsia="宋体" w:cs="宋体"/>
      <w:b/>
      <w:bCs/>
      <w:color w:val="000000" w:themeColor="text1"/>
      <w:kern w:val="1"/>
      <w:szCs w:val="44"/>
      <w14:textFill>
        <w14:gradFill>
          <w14:gsLst>
            <w14:gs w14:pos="0">
              <w14:srgbClr w14:val="9EE256"/>
            </w14:gs>
            <w14:gs w14:pos="100000">
              <w14:srgbClr w14:val="52762D"/>
            </w14:gs>
          </w14:gsLst>
          <w14:lin w14:ang="5400000" w14:scaled="0"/>
        </w14:gra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whm</Company>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2021-09-08T01:43:00Z</dcterms:created>
  <dc:creator>。</dc:creator>
  <cp:lastModifiedBy>。</cp:lastModifiedBy>
  <dcterms:modified xsi:type="dcterms:W3CDTF">2021-09-08T01:44:41Z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3AEC2E9486D94A72916120555B6A372D</vt:lpwstr>
  </property>
</Properties>
</file>