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hint="eastAsia"/>
          <w:sz w:val="28"/>
          <w:szCs w:val="28"/>
        </w:rPr>
      </w:pPr>
      <w:r>
        <w:rPr>
          <w:rFonts w:hint="eastAsia" w:ascii="方正小标宋简体" w:eastAsia="方正小标宋简体"/>
          <w:sz w:val="44"/>
          <w:szCs w:val="44"/>
        </w:rPr>
        <w:t>苏州市医疗保障局企业行政合规指导清单</w:t>
      </w:r>
    </w:p>
    <w:tbl>
      <w:tblPr>
        <w:tblStyle w:val="5"/>
        <w:tblW w:w="14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19"/>
        <w:gridCol w:w="2316"/>
        <w:gridCol w:w="4394"/>
        <w:gridCol w:w="803"/>
        <w:gridCol w:w="297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ascii="黑体" w:hAnsi="黑体" w:eastAsia="黑体"/>
                <w:kern w:val="0"/>
                <w:sz w:val="24"/>
              </w:rPr>
            </w:pPr>
            <w:r>
              <w:rPr>
                <w:rFonts w:hint="eastAsia" w:ascii="黑体" w:hAnsi="黑体" w:eastAsia="黑体"/>
                <w:kern w:val="0"/>
                <w:sz w:val="24"/>
              </w:rPr>
              <w:t>序号</w:t>
            </w:r>
          </w:p>
        </w:tc>
        <w:tc>
          <w:tcPr>
            <w:tcW w:w="1819" w:type="dxa"/>
            <w:noWrap w:val="0"/>
            <w:vAlign w:val="center"/>
          </w:tcPr>
          <w:p>
            <w:pPr>
              <w:jc w:val="center"/>
              <w:rPr>
                <w:rFonts w:ascii="黑体" w:hAnsi="黑体" w:eastAsia="黑体"/>
                <w:kern w:val="0"/>
                <w:sz w:val="24"/>
              </w:rPr>
            </w:pPr>
            <w:r>
              <w:rPr>
                <w:rFonts w:hint="eastAsia" w:ascii="黑体" w:hAnsi="黑体" w:eastAsia="黑体"/>
                <w:kern w:val="0"/>
                <w:sz w:val="24"/>
              </w:rPr>
              <w:t>行政合规事项</w:t>
            </w:r>
          </w:p>
        </w:tc>
        <w:tc>
          <w:tcPr>
            <w:tcW w:w="2316" w:type="dxa"/>
            <w:noWrap w:val="0"/>
            <w:vAlign w:val="center"/>
          </w:tcPr>
          <w:p>
            <w:pPr>
              <w:jc w:val="center"/>
              <w:rPr>
                <w:rFonts w:ascii="黑体" w:hAnsi="黑体" w:eastAsia="黑体"/>
                <w:kern w:val="0"/>
                <w:sz w:val="24"/>
              </w:rPr>
            </w:pPr>
            <w:r>
              <w:rPr>
                <w:rFonts w:hint="eastAsia" w:ascii="黑体" w:hAnsi="黑体" w:eastAsia="黑体"/>
                <w:kern w:val="0"/>
                <w:sz w:val="24"/>
              </w:rPr>
              <w:t>常见违法行为表现</w:t>
            </w:r>
          </w:p>
        </w:tc>
        <w:tc>
          <w:tcPr>
            <w:tcW w:w="4394" w:type="dxa"/>
            <w:noWrap w:val="0"/>
            <w:vAlign w:val="center"/>
          </w:tcPr>
          <w:p>
            <w:pPr>
              <w:jc w:val="center"/>
              <w:rPr>
                <w:rFonts w:ascii="黑体" w:hAnsi="黑体" w:eastAsia="黑体"/>
                <w:kern w:val="0"/>
                <w:sz w:val="24"/>
              </w:rPr>
            </w:pPr>
            <w:r>
              <w:rPr>
                <w:rFonts w:hAnsi="黑体" w:eastAsia="黑体"/>
                <w:kern w:val="0"/>
                <w:sz w:val="24"/>
              </w:rPr>
              <w:t>法律依据及违法责任</w:t>
            </w:r>
          </w:p>
        </w:tc>
        <w:tc>
          <w:tcPr>
            <w:tcW w:w="803" w:type="dxa"/>
            <w:noWrap w:val="0"/>
            <w:vAlign w:val="center"/>
          </w:tcPr>
          <w:p>
            <w:pPr>
              <w:jc w:val="center"/>
              <w:rPr>
                <w:rFonts w:ascii="黑体" w:hAnsi="黑体" w:eastAsia="黑体"/>
                <w:kern w:val="0"/>
                <w:sz w:val="24"/>
              </w:rPr>
            </w:pPr>
            <w:r>
              <w:rPr>
                <w:rFonts w:hint="eastAsia" w:ascii="黑体" w:hAnsi="黑体" w:eastAsia="黑体"/>
                <w:kern w:val="0"/>
                <w:sz w:val="24"/>
              </w:rPr>
              <w:t>风险等级</w:t>
            </w:r>
          </w:p>
        </w:tc>
        <w:tc>
          <w:tcPr>
            <w:tcW w:w="2977" w:type="dxa"/>
            <w:noWrap w:val="0"/>
            <w:vAlign w:val="center"/>
          </w:tcPr>
          <w:p>
            <w:pPr>
              <w:jc w:val="center"/>
              <w:rPr>
                <w:rFonts w:ascii="黑体" w:hAnsi="黑体" w:eastAsia="黑体"/>
                <w:kern w:val="0"/>
                <w:sz w:val="24"/>
              </w:rPr>
            </w:pPr>
            <w:r>
              <w:rPr>
                <w:rFonts w:hint="eastAsia" w:ascii="黑体" w:hAnsi="黑体" w:eastAsia="黑体"/>
                <w:kern w:val="0"/>
                <w:sz w:val="24"/>
              </w:rPr>
              <w:t>合规建议</w:t>
            </w:r>
          </w:p>
        </w:tc>
        <w:tc>
          <w:tcPr>
            <w:tcW w:w="1284" w:type="dxa"/>
            <w:noWrap w:val="0"/>
            <w:vAlign w:val="center"/>
          </w:tcPr>
          <w:p>
            <w:pPr>
              <w:jc w:val="center"/>
              <w:rPr>
                <w:rFonts w:ascii="黑体" w:hAnsi="黑体" w:eastAsia="黑体"/>
                <w:kern w:val="0"/>
                <w:sz w:val="24"/>
              </w:rPr>
            </w:pPr>
            <w:r>
              <w:rPr>
                <w:rFonts w:hint="eastAsia" w:ascii="黑体" w:hAnsi="黑体" w:eastAsia="黑体"/>
                <w:kern w:val="0"/>
                <w:sz w:val="24"/>
              </w:rPr>
              <w:t>指导部门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kern w:val="0"/>
                <w:sz w:val="18"/>
                <w:szCs w:val="18"/>
              </w:rPr>
            </w:pPr>
            <w:r>
              <w:rPr>
                <w:rFonts w:hint="eastAsia" w:ascii="宋体" w:hAnsi="宋体"/>
                <w:kern w:val="0"/>
                <w:sz w:val="18"/>
                <w:szCs w:val="18"/>
              </w:rPr>
              <w:t>1</w:t>
            </w:r>
          </w:p>
        </w:tc>
        <w:tc>
          <w:tcPr>
            <w:tcW w:w="1819" w:type="dxa"/>
            <w:noWrap w:val="0"/>
            <w:vAlign w:val="center"/>
          </w:tcPr>
          <w:p>
            <w:pPr>
              <w:widowControl/>
              <w:shd w:val="clear" w:color="auto" w:fill="FFFFFF"/>
              <w:spacing w:line="400" w:lineRule="exact"/>
              <w:ind w:firstLine="360" w:firstLineChars="200"/>
              <w:rPr>
                <w:rFonts w:hint="eastAsia" w:ascii="宋体" w:hAnsi="宋体"/>
                <w:kern w:val="0"/>
                <w:sz w:val="18"/>
                <w:szCs w:val="18"/>
              </w:rPr>
            </w:pPr>
            <w:r>
              <w:rPr>
                <w:rFonts w:hint="eastAsia" w:ascii="宋体" w:hAnsi="宋体"/>
                <w:kern w:val="0"/>
                <w:sz w:val="18"/>
                <w:szCs w:val="18"/>
              </w:rPr>
              <w:t>定点医药机构应当组织开展医疗保障基金相关制度、政策的培训，定期检查本单位医疗保障基金使用情况，及时纠正医疗保障基金使用不规范的行为。</w:t>
            </w:r>
          </w:p>
          <w:p>
            <w:pPr>
              <w:overflowPunct w:val="0"/>
              <w:autoSpaceDE w:val="0"/>
              <w:autoSpaceDN w:val="0"/>
              <w:ind w:firstLine="360" w:firstLineChars="200"/>
              <w:rPr>
                <w:rFonts w:hint="eastAsia" w:ascii="宋体" w:hAnsi="宋体"/>
                <w:kern w:val="0"/>
                <w:sz w:val="18"/>
                <w:szCs w:val="18"/>
              </w:rPr>
            </w:pPr>
          </w:p>
        </w:tc>
        <w:tc>
          <w:tcPr>
            <w:tcW w:w="2316" w:type="dxa"/>
            <w:noWrap w:val="0"/>
            <w:vAlign w:val="center"/>
          </w:tcPr>
          <w:p>
            <w:pPr>
              <w:overflowPunct w:val="0"/>
              <w:autoSpaceDE w:val="0"/>
              <w:autoSpaceDN w:val="0"/>
              <w:ind w:firstLine="360" w:firstLineChars="200"/>
              <w:rPr>
                <w:rFonts w:hint="eastAsia" w:ascii="宋体" w:hAnsi="宋体"/>
                <w:kern w:val="0"/>
                <w:sz w:val="18"/>
                <w:szCs w:val="18"/>
              </w:rPr>
            </w:pPr>
            <w:r>
              <w:rPr>
                <w:rFonts w:hint="eastAsia" w:ascii="宋体" w:hAnsi="宋体"/>
                <w:kern w:val="0"/>
                <w:sz w:val="18"/>
                <w:szCs w:val="18"/>
              </w:rPr>
              <w:t>通过诱导、协助他人冒名或者虚假就医、购药，伪造、变造、隐匿、涂改、销毁医学文书、医学证明、会计凭证、电子信息等有关资料，虚构医药服务项目，骗取医疗保障基金支出。</w:t>
            </w:r>
          </w:p>
        </w:tc>
        <w:tc>
          <w:tcPr>
            <w:tcW w:w="4394" w:type="dxa"/>
            <w:noWrap w:val="0"/>
            <w:vAlign w:val="center"/>
          </w:tcPr>
          <w:p>
            <w:pPr>
              <w:overflowPunct w:val="0"/>
              <w:autoSpaceDE w:val="0"/>
              <w:autoSpaceDN w:val="0"/>
              <w:rPr>
                <w:rFonts w:hint="eastAsia" w:ascii="宋体" w:hAnsi="宋体"/>
                <w:kern w:val="0"/>
                <w:sz w:val="18"/>
                <w:szCs w:val="18"/>
              </w:rPr>
            </w:pPr>
            <w:r>
              <w:rPr>
                <w:rFonts w:hint="eastAsia" w:ascii="宋体" w:hAnsi="宋体"/>
                <w:kern w:val="0"/>
                <w:sz w:val="18"/>
                <w:szCs w:val="18"/>
              </w:rPr>
              <w:t>【法律】《医疗保障基金使用监督管理条例》第四十条  </w:t>
            </w:r>
          </w:p>
          <w:p>
            <w:pPr>
              <w:overflowPunct w:val="0"/>
              <w:autoSpaceDE w:val="0"/>
              <w:autoSpaceDN w:val="0"/>
              <w:ind w:firstLine="360" w:firstLineChars="200"/>
              <w:rPr>
                <w:rFonts w:hint="eastAsia" w:ascii="宋体" w:hAnsi="宋体"/>
                <w:kern w:val="0"/>
                <w:sz w:val="18"/>
                <w:szCs w:val="18"/>
              </w:rPr>
            </w:pPr>
            <w:r>
              <w:rPr>
                <w:rFonts w:hint="eastAsia" w:ascii="宋体" w:hAnsi="宋体"/>
                <w:kern w:val="0"/>
                <w:sz w:val="18"/>
                <w:szCs w:val="18"/>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　（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w:t>
            </w:r>
          </w:p>
          <w:p>
            <w:pPr>
              <w:overflowPunct w:val="0"/>
              <w:autoSpaceDE w:val="0"/>
              <w:autoSpaceDN w:val="0"/>
              <w:ind w:firstLine="360" w:firstLineChars="200"/>
              <w:rPr>
                <w:kern w:val="0"/>
                <w:sz w:val="18"/>
                <w:szCs w:val="18"/>
              </w:rPr>
            </w:pPr>
          </w:p>
        </w:tc>
        <w:tc>
          <w:tcPr>
            <w:tcW w:w="803" w:type="dxa"/>
            <w:noWrap w:val="0"/>
            <w:vAlign w:val="center"/>
          </w:tcPr>
          <w:p>
            <w:pPr>
              <w:overflowPunct w:val="0"/>
              <w:autoSpaceDE w:val="0"/>
              <w:autoSpaceDN w:val="0"/>
              <w:spacing w:line="320" w:lineRule="exact"/>
              <w:jc w:val="center"/>
              <w:rPr>
                <w:kern w:val="0"/>
                <w:sz w:val="18"/>
                <w:szCs w:val="18"/>
              </w:rPr>
            </w:pPr>
            <w:r>
              <w:rPr>
                <w:rFonts w:hAnsi="宋体"/>
                <w:kern w:val="0"/>
                <w:sz w:val="18"/>
                <w:szCs w:val="18"/>
              </w:rPr>
              <w:t>★</w:t>
            </w:r>
          </w:p>
        </w:tc>
        <w:tc>
          <w:tcPr>
            <w:tcW w:w="2977" w:type="dxa"/>
            <w:noWrap w:val="0"/>
            <w:vAlign w:val="center"/>
          </w:tcPr>
          <w:p>
            <w:pPr>
              <w:ind w:firstLine="360" w:firstLineChars="200"/>
              <w:rPr>
                <w:rFonts w:hint="eastAsia" w:ascii="宋体" w:hAnsi="宋体"/>
                <w:kern w:val="0"/>
                <w:sz w:val="18"/>
                <w:szCs w:val="18"/>
              </w:rPr>
            </w:pPr>
            <w:r>
              <w:rPr>
                <w:rFonts w:hint="eastAsia" w:ascii="宋体" w:hAnsi="宋体"/>
                <w:kern w:val="0"/>
                <w:sz w:val="18"/>
                <w:szCs w:val="18"/>
              </w:rPr>
              <w:t>避免本项所列的欺诈骗保的违法行为发生。</w:t>
            </w:r>
          </w:p>
        </w:tc>
        <w:tc>
          <w:tcPr>
            <w:tcW w:w="1284" w:type="dxa"/>
            <w:noWrap w:val="0"/>
            <w:vAlign w:val="center"/>
          </w:tcPr>
          <w:p>
            <w:pPr>
              <w:rPr>
                <w:rFonts w:hint="eastAsia" w:ascii="宋体" w:hAnsi="宋体"/>
                <w:kern w:val="0"/>
                <w:sz w:val="18"/>
                <w:szCs w:val="18"/>
              </w:rPr>
            </w:pPr>
            <w:r>
              <w:rPr>
                <w:rFonts w:hint="eastAsia" w:ascii="宋体" w:hAnsi="宋体"/>
                <w:b/>
                <w:kern w:val="0"/>
                <w:sz w:val="18"/>
                <w:szCs w:val="18"/>
              </w:rPr>
              <w:t>基金监督处</w:t>
            </w:r>
            <w:r>
              <w:rPr>
                <w:rFonts w:hint="eastAsia" w:hAnsi="宋体"/>
                <w:kern w:val="0"/>
                <w:sz w:val="18"/>
                <w:szCs w:val="18"/>
              </w:rPr>
              <w:t>（电话：67539765）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kern w:val="0"/>
                <w:sz w:val="18"/>
                <w:szCs w:val="18"/>
              </w:rPr>
            </w:pPr>
            <w:r>
              <w:rPr>
                <w:rFonts w:hint="eastAsia" w:ascii="宋体" w:hAnsi="宋体"/>
                <w:kern w:val="0"/>
                <w:sz w:val="18"/>
                <w:szCs w:val="18"/>
              </w:rPr>
              <w:t>2</w:t>
            </w:r>
          </w:p>
        </w:tc>
        <w:tc>
          <w:tcPr>
            <w:tcW w:w="1819" w:type="dxa"/>
            <w:noWrap w:val="0"/>
            <w:vAlign w:val="center"/>
          </w:tcPr>
          <w:p>
            <w:pPr>
              <w:pStyle w:val="4"/>
              <w:shd w:val="clear" w:color="auto" w:fill="FFFFFF"/>
              <w:spacing w:before="0" w:beforeAutospacing="0" w:after="0" w:afterAutospacing="0"/>
              <w:ind w:firstLine="480"/>
              <w:jc w:val="both"/>
              <w:rPr>
                <w:rFonts w:hint="eastAsia" w:ascii="宋体" w:hAnsi="宋体"/>
                <w:sz w:val="18"/>
                <w:szCs w:val="18"/>
              </w:rPr>
            </w:pPr>
          </w:p>
          <w:p>
            <w:pPr>
              <w:pStyle w:val="4"/>
              <w:shd w:val="clear" w:color="auto" w:fill="FFFFFF"/>
              <w:spacing w:before="0" w:beforeAutospacing="0" w:after="0" w:afterAutospacing="0" w:line="400" w:lineRule="exact"/>
              <w:ind w:firstLine="480"/>
              <w:jc w:val="both"/>
              <w:rPr>
                <w:rFonts w:hint="eastAsia" w:ascii="宋体" w:hAnsi="宋体"/>
                <w:sz w:val="18"/>
                <w:szCs w:val="18"/>
              </w:rPr>
            </w:pPr>
            <w:r>
              <w:rPr>
                <w:rFonts w:hint="eastAsia" w:ascii="宋体" w:hAnsi="宋体"/>
                <w:sz w:val="18"/>
                <w:szCs w:val="18"/>
              </w:rPr>
              <w:t>定点医药机构及其工作人员应当执行实名就医和购药管理规定，核验参保人员医疗保障凭证，按照诊疗规范提供合理、必要的医药服务，向参保人员如实出具费用单据和相关资料。</w:t>
            </w:r>
          </w:p>
          <w:p>
            <w:pPr>
              <w:pStyle w:val="4"/>
              <w:shd w:val="clear" w:color="auto" w:fill="FFFFFF"/>
              <w:spacing w:before="0" w:beforeAutospacing="0" w:after="0" w:afterAutospacing="0" w:line="400" w:lineRule="exact"/>
              <w:ind w:firstLine="480"/>
              <w:jc w:val="both"/>
              <w:rPr>
                <w:rFonts w:ascii="宋体" w:hAnsi="宋体"/>
                <w:sz w:val="18"/>
                <w:szCs w:val="18"/>
              </w:rPr>
            </w:pPr>
            <w:r>
              <w:rPr>
                <w:rFonts w:hint="eastAsia" w:ascii="宋体" w:hAnsi="宋体"/>
                <w:sz w:val="18"/>
                <w:szCs w:val="18"/>
              </w:rPr>
              <w:t>定点医药机构及其工作人员定点医药机构应当建立医疗保障基金使用内部管理制度，由专门机构或者人员负责医疗保障基金使用管理工作，建立健全考核评价体系。</w:t>
            </w:r>
          </w:p>
          <w:p>
            <w:pPr>
              <w:widowControl/>
              <w:shd w:val="clear" w:color="auto" w:fill="FFFFFF"/>
              <w:spacing w:line="400" w:lineRule="exact"/>
              <w:ind w:firstLine="360" w:firstLineChars="200"/>
              <w:rPr>
                <w:rFonts w:hint="eastAsia" w:ascii="宋体" w:hAnsi="宋体"/>
                <w:kern w:val="0"/>
                <w:sz w:val="18"/>
                <w:szCs w:val="18"/>
              </w:rPr>
            </w:pPr>
            <w:r>
              <w:rPr>
                <w:rFonts w:hint="eastAsia" w:ascii="宋体" w:hAnsi="宋体"/>
                <w:kern w:val="0"/>
                <w:sz w:val="18"/>
                <w:szCs w:val="18"/>
              </w:rPr>
              <w:t>定点医药机构应当组织开展医疗保障基金相关制度、政策的培训，定期检查本单位医疗保障基金使用情况，及时纠正医疗保障基金使用不规范的行为。</w:t>
            </w:r>
          </w:p>
          <w:p>
            <w:pPr>
              <w:overflowPunct w:val="0"/>
              <w:autoSpaceDE w:val="0"/>
              <w:autoSpaceDN w:val="0"/>
              <w:ind w:firstLine="360" w:firstLineChars="200"/>
              <w:rPr>
                <w:rFonts w:hint="eastAsia" w:ascii="宋体" w:hAnsi="宋体"/>
                <w:kern w:val="0"/>
                <w:sz w:val="18"/>
                <w:szCs w:val="18"/>
              </w:rPr>
            </w:pPr>
          </w:p>
        </w:tc>
        <w:tc>
          <w:tcPr>
            <w:tcW w:w="2316" w:type="dxa"/>
            <w:noWrap w:val="0"/>
            <w:vAlign w:val="center"/>
          </w:tcPr>
          <w:p>
            <w:pPr>
              <w:pStyle w:val="4"/>
              <w:widowControl/>
              <w:spacing w:before="345" w:beforeAutospacing="0" w:after="0" w:afterAutospacing="0" w:line="570" w:lineRule="atLeast"/>
              <w:jc w:val="both"/>
              <w:rPr>
                <w:rFonts w:hint="eastAsia" w:ascii="宋体" w:hAnsi="宋体"/>
                <w:b/>
                <w:sz w:val="18"/>
                <w:szCs w:val="18"/>
              </w:rPr>
            </w:pPr>
            <w:r>
              <w:rPr>
                <w:rFonts w:hint="eastAsia" w:ascii="宋体" w:hAnsi="宋体"/>
                <w:sz w:val="18"/>
                <w:szCs w:val="18"/>
              </w:rPr>
              <w:t>分解住院、挂床住院，违反诊疗规范过度诊疗、过度检查、分解处方、超量开药、重复开药，重复收费、超标准收费、分解项目收费，串换药品、医用耗材、诊疗项目和服务设施；定点医药机构使用医疗保障基金支付的费用不符合规定的支付范围，为参保人员利用其享受医疗保障待遇的机会转卖药品，接受返还现金、实物或者获得其他非法利益提供便利。通过以上方式骗取医疗保障基金支出。</w:t>
            </w:r>
          </w:p>
        </w:tc>
        <w:tc>
          <w:tcPr>
            <w:tcW w:w="4394" w:type="dxa"/>
            <w:noWrap w:val="0"/>
            <w:vAlign w:val="top"/>
          </w:tcPr>
          <w:p>
            <w:pPr>
              <w:pStyle w:val="4"/>
              <w:widowControl/>
              <w:spacing w:before="345" w:beforeAutospacing="0" w:after="0" w:afterAutospacing="0" w:line="570" w:lineRule="atLeast"/>
              <w:jc w:val="both"/>
              <w:rPr>
                <w:rFonts w:hint="eastAsia" w:ascii="宋体" w:hAnsi="宋体"/>
                <w:sz w:val="18"/>
                <w:szCs w:val="18"/>
              </w:rPr>
            </w:pPr>
            <w:r>
              <w:rPr>
                <w:rFonts w:hint="eastAsia" w:ascii="宋体" w:hAnsi="宋体"/>
                <w:sz w:val="18"/>
                <w:szCs w:val="18"/>
              </w:rPr>
              <w:t xml:space="preserve">【法律】《医疗保障基金使用监督管理条例》第四十条 第四十条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  </w:t>
            </w:r>
          </w:p>
          <w:p>
            <w:pPr>
              <w:pStyle w:val="4"/>
              <w:widowControl/>
              <w:spacing w:before="345" w:beforeAutospacing="0" w:after="0" w:afterAutospacing="0" w:line="570" w:lineRule="atLeast"/>
              <w:ind w:firstLine="360" w:firstLineChars="200"/>
              <w:jc w:val="both"/>
              <w:rPr>
                <w:rFonts w:hint="eastAsia" w:ascii="宋体" w:hAnsi="宋体"/>
                <w:sz w:val="18"/>
                <w:szCs w:val="18"/>
              </w:rPr>
            </w:pPr>
            <w:r>
              <w:rPr>
                <w:rFonts w:hint="eastAsia" w:ascii="宋体" w:hAnsi="宋体"/>
                <w:sz w:val="18"/>
                <w:szCs w:val="18"/>
              </w:rPr>
              <w:t>定点医药机构以骗取医疗保障基金为目的，实施了本条例第三十八条规定行为之一，造成医疗保障基金损失的，按照本条规定处理。</w:t>
            </w:r>
          </w:p>
          <w:p>
            <w:pPr>
              <w:overflowPunct w:val="0"/>
              <w:autoSpaceDE w:val="0"/>
              <w:autoSpaceDN w:val="0"/>
              <w:rPr>
                <w:rFonts w:hint="eastAsia" w:ascii="宋体" w:hAnsi="宋体"/>
                <w:b/>
                <w:kern w:val="0"/>
                <w:sz w:val="18"/>
                <w:szCs w:val="18"/>
              </w:rPr>
            </w:pPr>
          </w:p>
        </w:tc>
        <w:tc>
          <w:tcPr>
            <w:tcW w:w="803" w:type="dxa"/>
            <w:noWrap w:val="0"/>
            <w:vAlign w:val="center"/>
          </w:tcPr>
          <w:p>
            <w:pPr>
              <w:overflowPunct w:val="0"/>
              <w:autoSpaceDE w:val="0"/>
              <w:autoSpaceDN w:val="0"/>
              <w:spacing w:line="320" w:lineRule="exact"/>
              <w:jc w:val="center"/>
              <w:rPr>
                <w:rFonts w:hint="eastAsia" w:ascii="宋体" w:hAnsi="宋体"/>
                <w:b/>
                <w:kern w:val="0"/>
                <w:sz w:val="18"/>
                <w:szCs w:val="18"/>
              </w:rPr>
            </w:pPr>
            <w:r>
              <w:rPr>
                <w:rFonts w:hAnsi="宋体"/>
                <w:kern w:val="0"/>
                <w:sz w:val="18"/>
                <w:szCs w:val="18"/>
              </w:rPr>
              <w:t>★</w:t>
            </w:r>
          </w:p>
        </w:tc>
        <w:tc>
          <w:tcPr>
            <w:tcW w:w="2977" w:type="dxa"/>
            <w:noWrap w:val="0"/>
            <w:vAlign w:val="center"/>
          </w:tcPr>
          <w:p>
            <w:pPr>
              <w:ind w:firstLine="360" w:firstLineChars="200"/>
              <w:rPr>
                <w:rFonts w:hint="eastAsia" w:ascii="宋体" w:hAnsi="宋体"/>
                <w:b/>
                <w:kern w:val="0"/>
                <w:sz w:val="18"/>
                <w:szCs w:val="18"/>
              </w:rPr>
            </w:pPr>
            <w:r>
              <w:rPr>
                <w:rFonts w:hint="eastAsia" w:ascii="宋体" w:hAnsi="宋体"/>
                <w:kern w:val="0"/>
                <w:sz w:val="18"/>
                <w:szCs w:val="18"/>
              </w:rPr>
              <w:t>避免本项所列的欺诈骗保的违法行为发生。</w:t>
            </w:r>
          </w:p>
        </w:tc>
        <w:tc>
          <w:tcPr>
            <w:tcW w:w="1284" w:type="dxa"/>
            <w:noWrap w:val="0"/>
            <w:vAlign w:val="center"/>
          </w:tcPr>
          <w:p>
            <w:pPr>
              <w:rPr>
                <w:rFonts w:hint="eastAsia" w:ascii="宋体" w:hAnsi="宋体"/>
                <w:b/>
                <w:kern w:val="0"/>
                <w:sz w:val="18"/>
                <w:szCs w:val="18"/>
              </w:rPr>
            </w:pPr>
            <w:r>
              <w:rPr>
                <w:rFonts w:hint="eastAsia" w:ascii="宋体" w:hAnsi="宋体"/>
                <w:b/>
                <w:kern w:val="0"/>
                <w:sz w:val="18"/>
                <w:szCs w:val="18"/>
              </w:rPr>
              <w:t>基金监督处</w:t>
            </w:r>
            <w:r>
              <w:rPr>
                <w:rFonts w:hint="eastAsia" w:hAnsi="宋体"/>
                <w:kern w:val="0"/>
                <w:sz w:val="18"/>
                <w:szCs w:val="18"/>
              </w:rPr>
              <w:t>（电话：67539765）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ascii="宋体" w:hAnsi="宋体"/>
                <w:kern w:val="0"/>
                <w:sz w:val="18"/>
                <w:szCs w:val="18"/>
              </w:rPr>
            </w:pPr>
            <w:r>
              <w:rPr>
                <w:rFonts w:hint="eastAsia" w:ascii="宋体" w:hAnsi="宋体"/>
                <w:kern w:val="0"/>
                <w:sz w:val="18"/>
                <w:szCs w:val="18"/>
              </w:rPr>
              <w:t>3</w:t>
            </w:r>
          </w:p>
        </w:tc>
        <w:tc>
          <w:tcPr>
            <w:tcW w:w="1819" w:type="dxa"/>
            <w:noWrap w:val="0"/>
            <w:vAlign w:val="center"/>
          </w:tcPr>
          <w:p>
            <w:pPr>
              <w:pStyle w:val="4"/>
              <w:widowControl/>
              <w:spacing w:before="345" w:beforeAutospacing="0" w:after="0" w:afterAutospacing="0" w:line="570" w:lineRule="atLeast"/>
              <w:jc w:val="both"/>
              <w:rPr>
                <w:rFonts w:hint="eastAsia" w:ascii="宋体" w:hAnsi="宋体"/>
                <w:sz w:val="18"/>
                <w:szCs w:val="18"/>
              </w:rPr>
            </w:pPr>
            <w:r>
              <w:rPr>
                <w:rFonts w:hint="eastAsia" w:ascii="微软雅黑" w:hAnsi="微软雅黑" w:eastAsia="微软雅黑" w:cs="微软雅黑"/>
                <w:color w:val="000000"/>
                <w:sz w:val="30"/>
                <w:szCs w:val="30"/>
              </w:rPr>
              <w:t>　</w:t>
            </w:r>
            <w:r>
              <w:rPr>
                <w:rFonts w:hint="eastAsia" w:ascii="宋体" w:hAnsi="宋体"/>
                <w:sz w:val="18"/>
                <w:szCs w:val="18"/>
              </w:rPr>
              <w:t>定点医药机构建立医疗保障基金使用内部管理制度，或者有专门机构或者人员负责医疗保障基金使用管理工作；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overflowPunct w:val="0"/>
              <w:autoSpaceDE w:val="0"/>
              <w:autoSpaceDN w:val="0"/>
              <w:ind w:firstLine="360" w:firstLineChars="200"/>
              <w:rPr>
                <w:rFonts w:hint="eastAsia" w:ascii="宋体" w:hAnsi="宋体"/>
                <w:kern w:val="0"/>
                <w:sz w:val="18"/>
                <w:szCs w:val="18"/>
              </w:rPr>
            </w:pPr>
          </w:p>
        </w:tc>
        <w:tc>
          <w:tcPr>
            <w:tcW w:w="2316" w:type="dxa"/>
            <w:noWrap w:val="0"/>
            <w:vAlign w:val="center"/>
          </w:tcPr>
          <w:p>
            <w:pPr>
              <w:pStyle w:val="4"/>
              <w:widowControl/>
              <w:spacing w:before="345" w:beforeAutospacing="0" w:after="0" w:afterAutospacing="0" w:line="570" w:lineRule="atLeast"/>
              <w:jc w:val="both"/>
              <w:rPr>
                <w:rFonts w:hint="eastAsia" w:ascii="宋体" w:hAnsi="宋体"/>
                <w:sz w:val="18"/>
                <w:szCs w:val="18"/>
              </w:rPr>
            </w:pPr>
            <w:r>
              <w:rPr>
                <w:rFonts w:hint="eastAsia" w:ascii="宋体" w:hAnsi="宋体"/>
                <w:sz w:val="18"/>
                <w:szCs w:val="18"/>
              </w:rPr>
              <w:t>　定点医药机构未建立医疗保障基金使用内部管理制度，或者没有专门机构或者人员负责医疗保障基金使用管理工作；未按照规定保管财务账目、会计凭证、处方、病历、治疗检查记录、费用明细、药品和医用耗材出入库记录等资料；未按照规定通过医疗保障信息系统传送医疗保障基金使用有关数据；　未按照规定向医疗保障行政部门报告医疗保障基金使用监督管理所需信息；未按照规定向社会公开医药费用、费用结构等信息；除急诊、抢救等特殊情形外，未经参保人员或者其近亲属、监护人同意提供医疗保障基金支付范围以外的医药服务；拒绝医疗保障等行政部门监督检查或者提供虚假情况。</w:t>
            </w:r>
          </w:p>
          <w:p>
            <w:pPr>
              <w:pStyle w:val="4"/>
              <w:widowControl/>
              <w:spacing w:before="345" w:beforeAutospacing="0" w:after="0" w:afterAutospacing="0" w:line="570" w:lineRule="atLeast"/>
              <w:jc w:val="both"/>
              <w:rPr>
                <w:rFonts w:hint="eastAsia" w:ascii="宋体" w:hAnsi="宋体"/>
                <w:sz w:val="18"/>
                <w:szCs w:val="18"/>
              </w:rPr>
            </w:pPr>
          </w:p>
        </w:tc>
        <w:tc>
          <w:tcPr>
            <w:tcW w:w="4394" w:type="dxa"/>
            <w:noWrap w:val="0"/>
            <w:vAlign w:val="top"/>
          </w:tcPr>
          <w:p>
            <w:pPr>
              <w:pStyle w:val="4"/>
              <w:widowControl/>
              <w:tabs>
                <w:tab w:val="left" w:pos="298"/>
              </w:tabs>
              <w:spacing w:before="345" w:beforeAutospacing="0" w:after="0" w:afterAutospacing="0" w:line="570" w:lineRule="atLeast"/>
              <w:ind w:firstLine="360" w:firstLineChars="200"/>
              <w:jc w:val="both"/>
              <w:rPr>
                <w:rFonts w:hint="eastAsia" w:ascii="宋体" w:hAnsi="宋体"/>
                <w:sz w:val="18"/>
                <w:szCs w:val="18"/>
              </w:rPr>
            </w:pPr>
            <w:r>
              <w:rPr>
                <w:rFonts w:hint="eastAsia" w:ascii="宋体" w:hAnsi="宋体"/>
                <w:sz w:val="18"/>
                <w:szCs w:val="18"/>
              </w:rPr>
              <w:t>【法律】《医疗保障基金使用监督管理条例》第第三十九条</w:t>
            </w:r>
          </w:p>
          <w:p>
            <w:pPr>
              <w:pStyle w:val="4"/>
              <w:widowControl/>
              <w:spacing w:before="345" w:beforeAutospacing="0" w:after="0" w:afterAutospacing="0" w:line="570" w:lineRule="atLeast"/>
              <w:jc w:val="both"/>
              <w:rPr>
                <w:rFonts w:hint="eastAsia" w:ascii="宋体" w:hAnsi="宋体"/>
                <w:sz w:val="18"/>
                <w:szCs w:val="18"/>
              </w:rPr>
            </w:pPr>
            <w:r>
              <w:rPr>
                <w:rFonts w:hint="eastAsia" w:ascii="宋体" w:hAnsi="宋体"/>
                <w:sz w:val="18"/>
                <w:szCs w:val="18"/>
              </w:rPr>
              <w:t>第三十九条  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p>
            <w:pPr>
              <w:overflowPunct w:val="0"/>
              <w:autoSpaceDE w:val="0"/>
              <w:autoSpaceDN w:val="0"/>
              <w:rPr>
                <w:rFonts w:hint="eastAsia" w:ascii="宋体" w:hAnsi="宋体"/>
                <w:b/>
                <w:kern w:val="0"/>
                <w:sz w:val="18"/>
                <w:szCs w:val="18"/>
              </w:rPr>
            </w:pPr>
          </w:p>
        </w:tc>
        <w:tc>
          <w:tcPr>
            <w:tcW w:w="803" w:type="dxa"/>
            <w:noWrap w:val="0"/>
            <w:vAlign w:val="center"/>
          </w:tcPr>
          <w:p>
            <w:pPr>
              <w:overflowPunct w:val="0"/>
              <w:autoSpaceDE w:val="0"/>
              <w:autoSpaceDN w:val="0"/>
              <w:spacing w:line="320" w:lineRule="exact"/>
              <w:jc w:val="center"/>
              <w:rPr>
                <w:rFonts w:hAnsi="宋体"/>
                <w:kern w:val="0"/>
                <w:sz w:val="18"/>
                <w:szCs w:val="18"/>
              </w:rPr>
            </w:pPr>
            <w:r>
              <w:rPr>
                <w:rFonts w:hAnsi="宋体"/>
                <w:kern w:val="0"/>
                <w:sz w:val="18"/>
                <w:szCs w:val="18"/>
              </w:rPr>
              <w:t>★★</w:t>
            </w:r>
          </w:p>
        </w:tc>
        <w:tc>
          <w:tcPr>
            <w:tcW w:w="2977" w:type="dxa"/>
            <w:noWrap w:val="0"/>
            <w:vAlign w:val="center"/>
          </w:tcPr>
          <w:p>
            <w:pPr>
              <w:ind w:firstLine="360" w:firstLineChars="200"/>
              <w:rPr>
                <w:rFonts w:hint="eastAsia" w:ascii="宋体" w:hAnsi="宋体"/>
                <w:kern w:val="0"/>
                <w:sz w:val="18"/>
                <w:szCs w:val="18"/>
              </w:rPr>
            </w:pPr>
            <w:r>
              <w:rPr>
                <w:rFonts w:hint="eastAsia" w:ascii="宋体" w:hAnsi="宋体"/>
                <w:kern w:val="0"/>
                <w:sz w:val="18"/>
                <w:szCs w:val="18"/>
              </w:rPr>
              <w:t>避免本项所列的违法行为发生。</w:t>
            </w:r>
          </w:p>
        </w:tc>
        <w:tc>
          <w:tcPr>
            <w:tcW w:w="1284" w:type="dxa"/>
            <w:noWrap w:val="0"/>
            <w:vAlign w:val="center"/>
          </w:tcPr>
          <w:p>
            <w:pPr>
              <w:rPr>
                <w:rFonts w:hint="eastAsia" w:ascii="宋体" w:hAnsi="宋体"/>
                <w:b/>
                <w:kern w:val="0"/>
                <w:sz w:val="18"/>
                <w:szCs w:val="18"/>
              </w:rPr>
            </w:pPr>
            <w:r>
              <w:rPr>
                <w:rFonts w:hint="eastAsia" w:ascii="宋体" w:hAnsi="宋体"/>
                <w:b/>
                <w:kern w:val="0"/>
                <w:sz w:val="18"/>
                <w:szCs w:val="18"/>
              </w:rPr>
              <w:t>基金监督处</w:t>
            </w:r>
            <w:r>
              <w:rPr>
                <w:rFonts w:hint="eastAsia" w:hAnsi="宋体"/>
                <w:kern w:val="0"/>
                <w:sz w:val="18"/>
                <w:szCs w:val="18"/>
              </w:rPr>
              <w:t>（电话：67539765）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ascii="宋体" w:hAnsi="宋体"/>
                <w:kern w:val="0"/>
                <w:sz w:val="18"/>
                <w:szCs w:val="18"/>
              </w:rPr>
            </w:pPr>
            <w:r>
              <w:rPr>
                <w:rFonts w:hint="eastAsia" w:ascii="宋体" w:hAnsi="宋体"/>
                <w:kern w:val="0"/>
                <w:sz w:val="18"/>
                <w:szCs w:val="18"/>
              </w:rPr>
              <w:t>4</w:t>
            </w:r>
          </w:p>
        </w:tc>
        <w:tc>
          <w:tcPr>
            <w:tcW w:w="1819" w:type="dxa"/>
            <w:noWrap w:val="0"/>
            <w:vAlign w:val="center"/>
          </w:tcPr>
          <w:p>
            <w:pPr>
              <w:pStyle w:val="4"/>
              <w:shd w:val="clear" w:color="auto" w:fill="FFFFFF"/>
              <w:spacing w:before="0" w:beforeAutospacing="0" w:after="0" w:afterAutospacing="0" w:line="400" w:lineRule="exact"/>
              <w:ind w:firstLine="480"/>
              <w:jc w:val="both"/>
              <w:rPr>
                <w:rFonts w:hint="eastAsia" w:ascii="宋体" w:hAnsi="宋体"/>
                <w:sz w:val="18"/>
                <w:szCs w:val="18"/>
              </w:rPr>
            </w:pPr>
            <w:r>
              <w:rPr>
                <w:rFonts w:hint="eastAsia" w:ascii="宋体" w:hAnsi="宋体"/>
                <w:sz w:val="18"/>
                <w:szCs w:val="18"/>
              </w:rPr>
              <w:t>定点医药机构及其工作人员应当执行实名就医和购药管理规定，核验参保人员医疗保障凭证，按照诊疗规范提供合理、必要的医药服务，向参保人员如实出具费用单据和相关资料。</w:t>
            </w:r>
          </w:p>
          <w:p>
            <w:pPr>
              <w:pStyle w:val="4"/>
              <w:shd w:val="clear" w:color="auto" w:fill="FFFFFF"/>
              <w:spacing w:before="0" w:beforeAutospacing="0" w:after="0" w:afterAutospacing="0" w:line="400" w:lineRule="exact"/>
              <w:ind w:firstLine="480"/>
              <w:jc w:val="both"/>
              <w:rPr>
                <w:rFonts w:ascii="宋体" w:hAnsi="宋体"/>
                <w:sz w:val="18"/>
                <w:szCs w:val="18"/>
              </w:rPr>
            </w:pPr>
            <w:r>
              <w:rPr>
                <w:rFonts w:hint="eastAsia" w:ascii="宋体" w:hAnsi="宋体"/>
                <w:sz w:val="18"/>
                <w:szCs w:val="18"/>
              </w:rPr>
              <w:t>定点医药机构及其工作人员定点医药机构应当建立医疗保障基金使用内部管理制度，由专门机构或者人员负责医疗保障基金使用管理工作，建立健全考核评价体系。</w:t>
            </w:r>
          </w:p>
          <w:p>
            <w:pPr>
              <w:widowControl/>
              <w:shd w:val="clear" w:color="auto" w:fill="FFFFFF"/>
              <w:spacing w:line="400" w:lineRule="exact"/>
              <w:ind w:firstLine="360" w:firstLineChars="200"/>
              <w:rPr>
                <w:rFonts w:hint="eastAsia" w:ascii="宋体" w:hAnsi="宋体"/>
                <w:kern w:val="0"/>
                <w:sz w:val="18"/>
                <w:szCs w:val="18"/>
              </w:rPr>
            </w:pPr>
            <w:r>
              <w:rPr>
                <w:rFonts w:hint="eastAsia" w:ascii="宋体" w:hAnsi="宋体"/>
                <w:kern w:val="0"/>
                <w:sz w:val="18"/>
                <w:szCs w:val="18"/>
              </w:rPr>
              <w:t>定点医药机构应当组织开展医疗保障基金相关制度、政策的培训，定期检查本单位医疗保障基金使用情况，及时纠正医疗保障基金使用不规范的行为。</w:t>
            </w:r>
          </w:p>
          <w:p>
            <w:pPr>
              <w:overflowPunct w:val="0"/>
              <w:autoSpaceDE w:val="0"/>
              <w:autoSpaceDN w:val="0"/>
              <w:ind w:firstLine="360" w:firstLineChars="200"/>
              <w:rPr>
                <w:rFonts w:hint="eastAsia" w:ascii="宋体" w:hAnsi="宋体"/>
                <w:kern w:val="0"/>
                <w:sz w:val="18"/>
                <w:szCs w:val="18"/>
              </w:rPr>
            </w:pPr>
          </w:p>
        </w:tc>
        <w:tc>
          <w:tcPr>
            <w:tcW w:w="2316" w:type="dxa"/>
            <w:noWrap w:val="0"/>
            <w:vAlign w:val="center"/>
          </w:tcPr>
          <w:p>
            <w:pPr>
              <w:pStyle w:val="4"/>
              <w:widowControl/>
              <w:spacing w:before="345" w:beforeAutospacing="0" w:after="0" w:afterAutospacing="0" w:line="570" w:lineRule="atLeast"/>
              <w:jc w:val="both"/>
              <w:rPr>
                <w:rFonts w:hint="eastAsia" w:ascii="宋体" w:hAnsi="宋体"/>
                <w:sz w:val="18"/>
                <w:szCs w:val="18"/>
              </w:rPr>
            </w:pPr>
            <w:r>
              <w:rPr>
                <w:rFonts w:hint="eastAsia" w:ascii="宋体" w:hAnsi="宋体"/>
                <w:sz w:val="18"/>
                <w:szCs w:val="18"/>
              </w:rPr>
              <w:t>分解住院、挂床住院，违反诊疗规范过度诊疗、过度检查、分解处方、超量开药、重复开药，重复收费、超标准收费、分解项目收费，串换药品、医用耗材、诊疗项目和服务设施；定点医药机构使用医疗保障基金支付的费用不符合规定的支付范围，为参保人员利用其享受医疗保障待遇的机会转卖药品，接受返还现金、实物或者获得其他非法利益提供便利。通过以上方式造成医疗保障基金损失。</w:t>
            </w:r>
          </w:p>
        </w:tc>
        <w:tc>
          <w:tcPr>
            <w:tcW w:w="4394" w:type="dxa"/>
            <w:noWrap w:val="0"/>
            <w:vAlign w:val="top"/>
          </w:tcPr>
          <w:p>
            <w:pPr>
              <w:pStyle w:val="4"/>
              <w:widowControl/>
              <w:tabs>
                <w:tab w:val="left" w:pos="298"/>
              </w:tabs>
              <w:spacing w:before="345" w:beforeAutospacing="0" w:after="0" w:afterAutospacing="0" w:line="570" w:lineRule="atLeast"/>
              <w:ind w:firstLine="360" w:firstLineChars="200"/>
              <w:jc w:val="both"/>
              <w:rPr>
                <w:rFonts w:hint="eastAsia" w:ascii="宋体" w:hAnsi="宋体"/>
                <w:sz w:val="18"/>
                <w:szCs w:val="18"/>
              </w:rPr>
            </w:pPr>
            <w:r>
              <w:rPr>
                <w:rFonts w:hint="eastAsia" w:ascii="宋体" w:hAnsi="宋体"/>
                <w:sz w:val="18"/>
                <w:szCs w:val="18"/>
              </w:rPr>
              <w:tab/>
            </w:r>
            <w:r>
              <w:rPr>
                <w:rFonts w:hint="eastAsia" w:ascii="宋体" w:hAnsi="宋体"/>
                <w:sz w:val="18"/>
                <w:szCs w:val="18"/>
              </w:rPr>
              <w:t>【法律】《医疗保障基金使用监督管理条例》第三十八条</w:t>
            </w:r>
          </w:p>
          <w:p>
            <w:pPr>
              <w:pStyle w:val="4"/>
              <w:widowControl/>
              <w:tabs>
                <w:tab w:val="left" w:pos="298"/>
              </w:tabs>
              <w:spacing w:before="345" w:beforeAutospacing="0" w:after="0" w:afterAutospacing="0" w:line="570" w:lineRule="atLeast"/>
              <w:ind w:firstLine="360" w:firstLineChars="200"/>
              <w:jc w:val="both"/>
              <w:rPr>
                <w:rFonts w:hint="eastAsia" w:ascii="宋体" w:hAnsi="宋体"/>
                <w:sz w:val="18"/>
                <w:szCs w:val="18"/>
              </w:rPr>
            </w:pPr>
            <w:r>
              <w:rPr>
                <w:rFonts w:hint="eastAsia" w:ascii="宋体" w:hAnsi="宋体"/>
                <w:sz w:val="18"/>
                <w:szCs w:val="18"/>
              </w:rPr>
              <w:t>第三十八条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p>
            <w:pPr>
              <w:overflowPunct w:val="0"/>
              <w:autoSpaceDE w:val="0"/>
              <w:autoSpaceDN w:val="0"/>
              <w:rPr>
                <w:rFonts w:hint="eastAsia" w:ascii="宋体" w:hAnsi="宋体"/>
                <w:b/>
                <w:kern w:val="0"/>
                <w:sz w:val="18"/>
                <w:szCs w:val="18"/>
              </w:rPr>
            </w:pPr>
          </w:p>
        </w:tc>
        <w:tc>
          <w:tcPr>
            <w:tcW w:w="803" w:type="dxa"/>
            <w:noWrap w:val="0"/>
            <w:vAlign w:val="center"/>
          </w:tcPr>
          <w:p>
            <w:pPr>
              <w:overflowPunct w:val="0"/>
              <w:autoSpaceDE w:val="0"/>
              <w:autoSpaceDN w:val="0"/>
              <w:spacing w:line="320" w:lineRule="exact"/>
              <w:jc w:val="center"/>
              <w:rPr>
                <w:rFonts w:hAnsi="宋体"/>
                <w:kern w:val="0"/>
                <w:sz w:val="18"/>
                <w:szCs w:val="18"/>
              </w:rPr>
            </w:pPr>
            <w:r>
              <w:rPr>
                <w:rFonts w:hAnsi="宋体"/>
                <w:kern w:val="0"/>
                <w:sz w:val="18"/>
                <w:szCs w:val="18"/>
              </w:rPr>
              <w:t>★★★</w:t>
            </w:r>
          </w:p>
        </w:tc>
        <w:tc>
          <w:tcPr>
            <w:tcW w:w="2977" w:type="dxa"/>
            <w:noWrap w:val="0"/>
            <w:vAlign w:val="center"/>
          </w:tcPr>
          <w:p>
            <w:pPr>
              <w:ind w:firstLine="360" w:firstLineChars="200"/>
              <w:rPr>
                <w:rFonts w:hint="eastAsia" w:ascii="宋体" w:hAnsi="宋体"/>
                <w:kern w:val="0"/>
                <w:sz w:val="18"/>
                <w:szCs w:val="18"/>
              </w:rPr>
            </w:pPr>
            <w:r>
              <w:rPr>
                <w:rFonts w:hint="eastAsia" w:ascii="宋体" w:hAnsi="宋体"/>
                <w:kern w:val="0"/>
                <w:sz w:val="18"/>
                <w:szCs w:val="18"/>
              </w:rPr>
              <w:t>避免本项所列的违法行为发生。</w:t>
            </w:r>
          </w:p>
        </w:tc>
        <w:tc>
          <w:tcPr>
            <w:tcW w:w="1284" w:type="dxa"/>
            <w:noWrap w:val="0"/>
            <w:vAlign w:val="center"/>
          </w:tcPr>
          <w:p>
            <w:pPr>
              <w:rPr>
                <w:rFonts w:hint="eastAsia" w:ascii="宋体" w:hAnsi="宋体"/>
                <w:b/>
                <w:kern w:val="0"/>
                <w:sz w:val="18"/>
                <w:szCs w:val="18"/>
              </w:rPr>
            </w:pPr>
            <w:r>
              <w:rPr>
                <w:rFonts w:hint="eastAsia" w:ascii="宋体" w:hAnsi="宋体"/>
                <w:b/>
                <w:kern w:val="0"/>
                <w:sz w:val="18"/>
                <w:szCs w:val="18"/>
              </w:rPr>
              <w:t>基金监督处</w:t>
            </w:r>
            <w:r>
              <w:rPr>
                <w:rFonts w:hint="eastAsia" w:hAnsi="宋体"/>
                <w:kern w:val="0"/>
                <w:sz w:val="18"/>
                <w:szCs w:val="18"/>
              </w:rPr>
              <w:t>（电话：67539765）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rFonts w:hint="eastAsia" w:ascii="宋体" w:hAnsi="宋体"/>
                <w:kern w:val="0"/>
                <w:sz w:val="18"/>
                <w:szCs w:val="18"/>
              </w:rPr>
            </w:pPr>
          </w:p>
        </w:tc>
        <w:tc>
          <w:tcPr>
            <w:tcW w:w="1819" w:type="dxa"/>
            <w:noWrap w:val="0"/>
            <w:vAlign w:val="center"/>
          </w:tcPr>
          <w:p>
            <w:pPr>
              <w:pStyle w:val="4"/>
              <w:widowControl/>
              <w:spacing w:before="345" w:beforeAutospacing="0" w:after="0" w:afterAutospacing="0" w:line="570" w:lineRule="atLeast"/>
              <w:jc w:val="both"/>
              <w:rPr>
                <w:rFonts w:hint="eastAsia" w:ascii="微软雅黑" w:hAnsi="微软雅黑" w:eastAsia="微软雅黑" w:cs="微软雅黑"/>
                <w:color w:val="000000"/>
                <w:sz w:val="30"/>
                <w:szCs w:val="30"/>
              </w:rPr>
            </w:pPr>
          </w:p>
        </w:tc>
        <w:tc>
          <w:tcPr>
            <w:tcW w:w="2316" w:type="dxa"/>
            <w:noWrap w:val="0"/>
            <w:vAlign w:val="center"/>
          </w:tcPr>
          <w:p>
            <w:pPr>
              <w:pStyle w:val="4"/>
              <w:widowControl/>
              <w:spacing w:before="345" w:beforeAutospacing="0" w:after="0" w:afterAutospacing="0" w:line="570" w:lineRule="atLeast"/>
              <w:jc w:val="both"/>
              <w:rPr>
                <w:rFonts w:hint="eastAsia" w:ascii="宋体" w:hAnsi="宋体"/>
                <w:sz w:val="18"/>
                <w:szCs w:val="18"/>
              </w:rPr>
            </w:pPr>
          </w:p>
        </w:tc>
        <w:tc>
          <w:tcPr>
            <w:tcW w:w="4394" w:type="dxa"/>
            <w:noWrap w:val="0"/>
            <w:vAlign w:val="top"/>
          </w:tcPr>
          <w:p>
            <w:pPr>
              <w:pStyle w:val="4"/>
              <w:widowControl/>
              <w:tabs>
                <w:tab w:val="left" w:pos="298"/>
              </w:tabs>
              <w:spacing w:before="345" w:beforeAutospacing="0" w:after="0" w:afterAutospacing="0" w:line="570" w:lineRule="atLeast"/>
              <w:ind w:firstLine="360" w:firstLineChars="200"/>
              <w:jc w:val="both"/>
              <w:rPr>
                <w:rFonts w:hint="eastAsia" w:ascii="宋体" w:hAnsi="宋体"/>
                <w:sz w:val="18"/>
                <w:szCs w:val="18"/>
              </w:rPr>
            </w:pPr>
          </w:p>
        </w:tc>
        <w:tc>
          <w:tcPr>
            <w:tcW w:w="803" w:type="dxa"/>
            <w:noWrap w:val="0"/>
            <w:vAlign w:val="center"/>
          </w:tcPr>
          <w:p>
            <w:pPr>
              <w:overflowPunct w:val="0"/>
              <w:autoSpaceDE w:val="0"/>
              <w:autoSpaceDN w:val="0"/>
              <w:spacing w:line="320" w:lineRule="exact"/>
              <w:jc w:val="center"/>
              <w:rPr>
                <w:rFonts w:hAnsi="宋体"/>
                <w:kern w:val="0"/>
                <w:sz w:val="18"/>
                <w:szCs w:val="18"/>
              </w:rPr>
            </w:pPr>
          </w:p>
        </w:tc>
        <w:tc>
          <w:tcPr>
            <w:tcW w:w="2977" w:type="dxa"/>
            <w:noWrap w:val="0"/>
            <w:vAlign w:val="center"/>
          </w:tcPr>
          <w:p>
            <w:pPr>
              <w:ind w:firstLine="360" w:firstLineChars="200"/>
              <w:rPr>
                <w:rFonts w:hint="eastAsia" w:ascii="宋体" w:hAnsi="宋体"/>
                <w:kern w:val="0"/>
                <w:sz w:val="18"/>
                <w:szCs w:val="18"/>
              </w:rPr>
            </w:pPr>
          </w:p>
        </w:tc>
        <w:tc>
          <w:tcPr>
            <w:tcW w:w="1284" w:type="dxa"/>
            <w:noWrap w:val="0"/>
            <w:vAlign w:val="center"/>
          </w:tcPr>
          <w:p>
            <w:pPr>
              <w:rPr>
                <w:rFonts w:hint="eastAsia" w:ascii="宋体" w:hAnsi="宋体"/>
                <w:b/>
                <w:kern w:val="0"/>
                <w:sz w:val="18"/>
                <w:szCs w:val="18"/>
              </w:rPr>
            </w:pPr>
          </w:p>
        </w:tc>
      </w:tr>
    </w:tbl>
    <w:p>
      <w:pPr>
        <w:rPr>
          <w:rFonts w:hint="eastAsia" w:ascii="方正小标宋简体" w:hAnsi="宋体" w:eastAsia="方正小标宋简体"/>
          <w:color w:val="FF0000"/>
          <w:sz w:val="32"/>
          <w:szCs w:val="32"/>
        </w:rPr>
      </w:pPr>
      <w:r>
        <w:rPr>
          <w:rFonts w:hint="eastAsia"/>
          <w:sz w:val="18"/>
          <w:szCs w:val="18"/>
        </w:rPr>
        <w:t>备注：风险等级是指发生频率，发生频率较高的为</w:t>
      </w:r>
      <w:r>
        <w:rPr>
          <w:rFonts w:hAnsi="宋体"/>
          <w:kern w:val="0"/>
          <w:sz w:val="18"/>
          <w:szCs w:val="18"/>
        </w:rPr>
        <w:t>★★★</w:t>
      </w:r>
      <w:r>
        <w:rPr>
          <w:rFonts w:hint="eastAsia" w:hAnsi="宋体"/>
          <w:kern w:val="0"/>
          <w:sz w:val="18"/>
          <w:szCs w:val="18"/>
        </w:rPr>
        <w:t>，发生频率一般的为</w:t>
      </w:r>
      <w:r>
        <w:rPr>
          <w:rFonts w:hAnsi="宋体"/>
          <w:kern w:val="0"/>
          <w:sz w:val="18"/>
          <w:szCs w:val="18"/>
        </w:rPr>
        <w:t>★★</w:t>
      </w:r>
      <w:r>
        <w:rPr>
          <w:rFonts w:hint="eastAsia" w:hAnsi="宋体"/>
          <w:kern w:val="0"/>
          <w:sz w:val="18"/>
          <w:szCs w:val="18"/>
        </w:rPr>
        <w:t>，发生频率较少的为</w:t>
      </w:r>
      <w:r>
        <w:rPr>
          <w:rFonts w:hAnsi="宋体"/>
          <w:kern w:val="0"/>
          <w:sz w:val="18"/>
          <w:szCs w:val="18"/>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3124"/>
    <w:rsid w:val="7E9C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adjustRightInd w:val="0"/>
      <w:snapToGrid w:val="0"/>
      <w:spacing w:after="120" w:line="360" w:lineRule="auto"/>
    </w:pPr>
    <w:rPr>
      <w:rFonts w:ascii="Times New Roman" w:hAnsi="Times New Roman" w:eastAsia="仿宋"/>
      <w:sz w:val="32"/>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2021-11-18T03:15:03Z</dcterms:created>
  <dc:creator>user</dc:creator>
  <cp:lastModifiedBy>大熊</cp:lastModifiedBy>
  <dcterms:modified xsi:type="dcterms:W3CDTF">2021-11-18T03:15:55Z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5AD49D6D98924406BD31659B2A6B89A4</vt:lpwstr>
  </property>
</Properties>
</file>