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color w:val="0F0E0E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自治区卫生健康委、自治区中医药局</w:t>
      </w:r>
      <w:r>
        <w:rPr>
          <w:rFonts w:hint="eastAsia" w:ascii="方正小标宋简体" w:eastAsia="方正小标宋简体" w:cs="仿宋_GB2312"/>
          <w:sz w:val="44"/>
          <w:szCs w:val="44"/>
        </w:rPr>
        <w:t>任务分工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 w:cs="仿宋_GB2312"/>
          <w:color w:val="0F0E0E"/>
          <w:sz w:val="44"/>
          <w:szCs w:val="44"/>
        </w:rPr>
      </w:pPr>
    </w:p>
    <w:tbl>
      <w:tblPr>
        <w:tblStyle w:val="3"/>
        <w:tblW w:w="53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3471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tblHeader/>
        </w:trPr>
        <w:tc>
          <w:tcPr>
            <w:tcW w:w="1905" w:type="dxa"/>
            <w:noWrap w:val="0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hAnsi="黑体" w:eastAsia="黑体" w:cs="黑体"/>
                <w:color w:val="0F0E0E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F0E0E"/>
                <w:sz w:val="28"/>
                <w:szCs w:val="28"/>
              </w:rPr>
              <w:t>重点工作任务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hAnsi="黑体" w:eastAsia="黑体" w:cs="黑体"/>
                <w:color w:val="0F0E0E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F0E0E"/>
                <w:sz w:val="28"/>
                <w:szCs w:val="28"/>
              </w:rPr>
              <w:t>具体内容</w:t>
            </w:r>
          </w:p>
        </w:tc>
        <w:tc>
          <w:tcPr>
            <w:tcW w:w="4067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黑体" w:hAnsi="黑体" w:eastAsia="黑体" w:cs="黑体"/>
                <w:color w:val="0F0E0E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F0E0E"/>
                <w:sz w:val="28"/>
                <w:szCs w:val="28"/>
              </w:rPr>
              <w:t>负责处室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一、严格落实医疗机构依法执业主体责任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（一）建立健全依法执业管理体系。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监督处、医政医管处、基层处、妇幼处，中医药局医政处、法监处（排名第一的为牵头处室，下同）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（二）加强依法执业培训。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医政医管处、监督处、基层处、妇幼处，中医药局医政处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（三）全面开展依法执业自查。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监督处、医政医管处、基层处、妇幼处，中医药局医政处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二、充分发挥行业自律作用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（一）建立行业自律示范协会。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监督处、人事处、医政医管处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（二）发挥行业组织专业优势</w:t>
            </w: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监督处、人事处、医政医管处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（三）探索建立行业组织信用评价体系</w:t>
            </w: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监督处、人事处、医政医管处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三、大力创新政府监管手段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（一）建立完善协同监管机制。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监督处、法规处（审批办）、医政医管处、基层处、妇幼处，中医药局医政处、法监处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（二）加强智能化监管。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监督处、规划处（爱卫办）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（三）加强信用监管。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监督处、法规处（审批办）、医政医管处、基层处、妇幼处，中医药局医政处、法监处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90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楷体_GB2312"/>
                <w:sz w:val="28"/>
                <w:szCs w:val="28"/>
              </w:rPr>
              <w:t>四、加强社会监督</w:t>
            </w: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（一）落实普法责任</w:t>
            </w: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法规处（审批办）、宣传处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（二）畅通投诉举报渠道。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（三）健全信息公开机制。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监督处、办公室、法规处（审批办）、医政医管处、基层处、妇幼处，中医药局医政处、法监处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905" w:type="dxa"/>
            <w:vMerge w:val="continue"/>
            <w:noWrap w:val="0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66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（四）强化社会监督。</w:t>
            </w:r>
          </w:p>
        </w:tc>
        <w:tc>
          <w:tcPr>
            <w:tcW w:w="4067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F0E0E"/>
                <w:sz w:val="28"/>
                <w:szCs w:val="28"/>
              </w:rPr>
              <w:t>监督处、宣传处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E489A"/>
    <w:rsid w:val="3B0E4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Arial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2021-11-02T08:54:00Z</dcterms:created>
  <dc:creator>xjzxxzb</dc:creator>
  <cp:lastModifiedBy>xjzxxzb</cp:lastModifiedBy>
  <dcterms:modified xsi:type="dcterms:W3CDTF">2021-11-02T08:55:01Z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E17ABF72F35F4F9EADEFE9FDCF4D67D1</vt:lpwstr>
  </property>
</Properties>
</file>