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海南省</w:t>
      </w:r>
      <w:r>
        <w:rPr>
          <w:rFonts w:hint="eastAsia" w:ascii="方正小标宋_GBK" w:hAnsi="方正小标宋_GBK" w:eastAsia="方正小标宋_GBK" w:cs="方正小标宋_GBK"/>
          <w:b w:val="0"/>
          <w:bCs/>
          <w:sz w:val="44"/>
          <w:szCs w:val="44"/>
          <w:lang w:eastAsia="zh-CN"/>
        </w:rPr>
        <w:t>城镇从业人员</w:t>
      </w:r>
      <w:r>
        <w:rPr>
          <w:rFonts w:hint="eastAsia" w:ascii="方正小标宋_GBK" w:hAnsi="方正小标宋_GBK" w:eastAsia="方正小标宋_GBK" w:cs="方正小标宋_GBK"/>
          <w:b w:val="0"/>
          <w:bCs/>
          <w:sz w:val="44"/>
          <w:szCs w:val="44"/>
        </w:rPr>
        <w:t>基本医疗保险</w:t>
      </w:r>
    </w:p>
    <w:p>
      <w:pPr>
        <w:widowControl w:val="0"/>
        <w:wordWrap/>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普通门诊</w:t>
      </w:r>
      <w:r>
        <w:rPr>
          <w:rFonts w:hint="eastAsia" w:ascii="方正小标宋_GBK" w:hAnsi="方正小标宋_GBK" w:eastAsia="方正小标宋_GBK" w:cs="方正小标宋_GBK"/>
          <w:b w:val="0"/>
          <w:bCs/>
          <w:sz w:val="44"/>
          <w:szCs w:val="44"/>
          <w:lang w:eastAsia="zh-CN"/>
        </w:rPr>
        <w:t>共济保障</w:t>
      </w:r>
      <w:r>
        <w:rPr>
          <w:rFonts w:hint="eastAsia" w:ascii="方正小标宋_GBK" w:hAnsi="方正小标宋_GBK" w:eastAsia="方正小标宋_GBK" w:cs="方正小标宋_GBK"/>
          <w:b w:val="0"/>
          <w:bCs/>
          <w:sz w:val="44"/>
          <w:szCs w:val="44"/>
        </w:rPr>
        <w:t>管理办法（试行）</w:t>
      </w:r>
    </w:p>
    <w:p>
      <w:pPr>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pStyle w:val="14"/>
        <w:numPr>
          <w:ilvl w:val="0"/>
          <w:numId w:val="0"/>
        </w:numPr>
        <w:jc w:val="both"/>
        <w:rPr>
          <w:rFonts w:hint="eastAsia" w:ascii="黑体" w:hAnsi="黑体" w:eastAsia="黑体" w:cs="黑体"/>
          <w:b/>
          <w:bCs/>
          <w:color w:val="000000"/>
          <w:sz w:val="32"/>
          <w:szCs w:val="32"/>
        </w:rPr>
      </w:pPr>
    </w:p>
    <w:p>
      <w:pPr>
        <w:pStyle w:val="14"/>
        <w:numPr>
          <w:ilvl w:val="0"/>
          <w:numId w:val="0"/>
        </w:numPr>
        <w:jc w:val="center"/>
        <w:rPr>
          <w:rFonts w:hint="eastAsia" w:ascii="黑体" w:hAnsi="黑体" w:eastAsia="黑体" w:cs="黑体"/>
          <w:b/>
          <w:bCs/>
          <w:color w:val="000000"/>
          <w:sz w:val="32"/>
          <w:szCs w:val="32"/>
        </w:rPr>
      </w:pPr>
      <w:r>
        <w:rPr>
          <w:rFonts w:hint="eastAsia" w:ascii="黑体" w:hAnsi="黑体" w:eastAsia="黑体" w:cs="黑体"/>
          <w:b w:val="0"/>
          <w:bCs w:val="0"/>
          <w:color w:val="000000"/>
          <w:sz w:val="32"/>
          <w:szCs w:val="32"/>
          <w:lang w:eastAsia="zh-CN"/>
        </w:rPr>
        <w:t>第一章</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val="0"/>
          <w:bCs w:val="0"/>
          <w:color w:val="000000"/>
          <w:sz w:val="32"/>
          <w:szCs w:val="32"/>
        </w:rPr>
        <w:t>总 则</w:t>
      </w:r>
    </w:p>
    <w:p>
      <w:pPr>
        <w:jc w:val="center"/>
        <w:rPr>
          <w:rFonts w:ascii="仿宋_GB2312" w:hAnsi="仿宋_GB2312" w:eastAsia="仿宋_GB2312" w:cs="仿宋_GB2312"/>
          <w:sz w:val="32"/>
          <w:szCs w:val="32"/>
        </w:rPr>
      </w:pP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为进一步完善海南省城镇从业人员基本医疗保险制度，减轻城镇从业人员门诊医疗费用负担，</w:t>
      </w:r>
      <w:r>
        <w:rPr>
          <w:rFonts w:hint="eastAsia" w:ascii="仿宋_GB2312" w:hAnsi="仿宋_GB2312" w:eastAsia="仿宋_GB2312" w:cs="仿宋_GB2312"/>
          <w:sz w:val="32"/>
          <w:szCs w:val="32"/>
        </w:rPr>
        <w:t>依据</w:t>
      </w:r>
      <w:r>
        <w:rPr>
          <w:rFonts w:hint="eastAsia" w:ascii="仿宋" w:hAnsi="仿宋" w:eastAsia="仿宋" w:cs="仿宋"/>
          <w:b w:val="0"/>
          <w:bCs w:val="0"/>
          <w:color w:val="auto"/>
          <w:sz w:val="32"/>
          <w:szCs w:val="32"/>
          <w:lang w:val="en-US" w:eastAsia="zh-CN"/>
        </w:rPr>
        <w:t>国务院办公厅《关于建立健全职工基本医疗保险门诊共济保障机制的指导意见》（国办发〔2021〕14号）</w:t>
      </w:r>
      <w:r>
        <w:rPr>
          <w:rFonts w:hint="eastAsia" w:ascii="仿宋_GB2312" w:hAnsi="仿宋_GB2312" w:eastAsia="仿宋_GB2312" w:cs="仿宋_GB2312"/>
          <w:sz w:val="32"/>
          <w:szCs w:val="32"/>
          <w:lang w:eastAsia="zh-CN"/>
        </w:rPr>
        <w:t>等文件精神</w:t>
      </w:r>
      <w:r>
        <w:rPr>
          <w:rFonts w:hint="eastAsia" w:ascii="仿宋_GB2312" w:hAnsi="仿宋_GB2312" w:eastAsia="仿宋_GB2312" w:cs="仿宋_GB2312"/>
          <w:sz w:val="32"/>
          <w:szCs w:val="32"/>
        </w:rPr>
        <w:t>，结合我省实际，制定本办法。</w:t>
      </w: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本办法适用于参加我省</w:t>
      </w:r>
      <w:r>
        <w:rPr>
          <w:rFonts w:hint="eastAsia" w:ascii="仿宋_GB2312" w:hAnsi="仿宋_GB2312" w:eastAsia="仿宋_GB2312" w:cs="仿宋_GB2312"/>
          <w:sz w:val="32"/>
          <w:szCs w:val="32"/>
          <w:lang w:eastAsia="zh-CN"/>
        </w:rPr>
        <w:t>城镇从业人员</w:t>
      </w:r>
      <w:r>
        <w:rPr>
          <w:rFonts w:hint="eastAsia" w:ascii="仿宋_GB2312" w:hAnsi="仿宋_GB2312" w:eastAsia="仿宋_GB2312" w:cs="仿宋_GB2312"/>
          <w:sz w:val="32"/>
          <w:szCs w:val="32"/>
        </w:rPr>
        <w:t>基本医疗保险的</w:t>
      </w:r>
      <w:r>
        <w:rPr>
          <w:rFonts w:hint="eastAsia" w:ascii="仿宋_GB2312" w:hAnsi="仿宋_GB2312" w:eastAsia="仿宋_GB2312" w:cs="仿宋_GB2312"/>
          <w:sz w:val="32"/>
          <w:szCs w:val="32"/>
          <w:lang w:eastAsia="zh-CN"/>
        </w:rPr>
        <w:t>参保人员（以下简称参保人员）</w:t>
      </w:r>
      <w:r>
        <w:rPr>
          <w:rFonts w:hint="eastAsia" w:ascii="仿宋_GB2312" w:hAnsi="仿宋_GB2312" w:eastAsia="仿宋_GB2312" w:cs="仿宋_GB2312"/>
          <w:sz w:val="32"/>
          <w:szCs w:val="32"/>
        </w:rPr>
        <w:t>。</w:t>
      </w: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省医疗保障局负责普通门诊</w:t>
      </w:r>
      <w:r>
        <w:rPr>
          <w:rFonts w:hint="eastAsia" w:ascii="仿宋_GB2312" w:hAnsi="仿宋_GB2312" w:eastAsia="仿宋_GB2312" w:cs="仿宋_GB2312"/>
          <w:sz w:val="32"/>
          <w:szCs w:val="32"/>
          <w:lang w:eastAsia="zh-CN"/>
        </w:rPr>
        <w:t>共济保障</w:t>
      </w:r>
      <w:r>
        <w:rPr>
          <w:rFonts w:hint="eastAsia" w:ascii="仿宋_GB2312" w:hAnsi="仿宋_GB2312" w:eastAsia="仿宋_GB2312" w:cs="仿宋_GB2312"/>
          <w:sz w:val="32"/>
          <w:szCs w:val="32"/>
        </w:rPr>
        <w:t>相关政策的制定和信息化建设</w:t>
      </w:r>
      <w:r>
        <w:rPr>
          <w:rFonts w:hint="eastAsia" w:ascii="仿宋_GB2312" w:hAnsi="仿宋_GB2312" w:eastAsia="仿宋_GB2312" w:cs="仿宋_GB2312"/>
          <w:sz w:val="32"/>
          <w:szCs w:val="32"/>
          <w:lang w:eastAsia="zh-CN"/>
        </w:rPr>
        <w:t>。</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全省各级医疗保障行政部门负责指导和协调普通门诊</w:t>
      </w:r>
      <w:r>
        <w:rPr>
          <w:rFonts w:hint="eastAsia" w:ascii="仿宋_GB2312" w:hAnsi="仿宋_GB2312" w:eastAsia="仿宋_GB2312" w:cs="仿宋_GB2312"/>
          <w:sz w:val="32"/>
          <w:szCs w:val="32"/>
          <w:lang w:eastAsia="zh-CN"/>
        </w:rPr>
        <w:t>共济</w:t>
      </w:r>
      <w:r>
        <w:rPr>
          <w:rFonts w:hint="eastAsia" w:ascii="仿宋_GB2312" w:hAnsi="仿宋_GB2312" w:eastAsia="仿宋_GB2312" w:cs="仿宋_GB2312"/>
          <w:sz w:val="32"/>
          <w:szCs w:val="32"/>
        </w:rPr>
        <w:t>的经办工作，组织对定点医</w:t>
      </w:r>
      <w:r>
        <w:rPr>
          <w:rFonts w:hint="eastAsia" w:ascii="仿宋_GB2312" w:hAnsi="仿宋_GB2312" w:eastAsia="仿宋_GB2312" w:cs="仿宋_GB2312"/>
          <w:sz w:val="32"/>
          <w:szCs w:val="32"/>
          <w:lang w:eastAsia="zh-CN"/>
        </w:rPr>
        <w:t>药</w:t>
      </w:r>
      <w:r>
        <w:rPr>
          <w:rFonts w:hint="eastAsia" w:ascii="仿宋_GB2312" w:hAnsi="仿宋_GB2312" w:eastAsia="仿宋_GB2312" w:cs="仿宋_GB2312"/>
          <w:sz w:val="32"/>
          <w:szCs w:val="32"/>
        </w:rPr>
        <w:t>机构进行</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全省各级医疗保险经办</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负责普通门诊医疗费用的审核和结算，配合医疗保障行政部门对普通门诊</w:t>
      </w:r>
      <w:r>
        <w:rPr>
          <w:rFonts w:hint="eastAsia" w:ascii="仿宋_GB2312" w:hAnsi="仿宋_GB2312" w:eastAsia="仿宋_GB2312" w:cs="仿宋_GB2312"/>
          <w:sz w:val="32"/>
          <w:szCs w:val="32"/>
          <w:lang w:eastAsia="zh-CN"/>
        </w:rPr>
        <w:t>共济</w:t>
      </w:r>
      <w:r>
        <w:rPr>
          <w:rFonts w:hint="eastAsia" w:ascii="仿宋_GB2312" w:hAnsi="仿宋_GB2312" w:eastAsia="仿宋_GB2312" w:cs="仿宋_GB2312"/>
          <w:sz w:val="32"/>
          <w:szCs w:val="32"/>
        </w:rPr>
        <w:t>定点医</w:t>
      </w:r>
      <w:r>
        <w:rPr>
          <w:rFonts w:hint="eastAsia" w:ascii="仿宋_GB2312" w:hAnsi="仿宋_GB2312" w:eastAsia="仿宋_GB2312" w:cs="仿宋_GB2312"/>
          <w:sz w:val="32"/>
          <w:szCs w:val="32"/>
          <w:lang w:eastAsia="zh-CN"/>
        </w:rPr>
        <w:t>药</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highlight w:val="none"/>
        </w:rPr>
        <w:t>构</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w:t>
      </w:r>
    </w:p>
    <w:p>
      <w:pPr>
        <w:widowControl w:val="0"/>
        <w:shd w:val="clear" w:color="040000" w:fill="auto"/>
        <w:wordWrap/>
        <w:adjustRightInd/>
        <w:snapToGrid/>
        <w:spacing w:before="0" w:after="0" w:line="560" w:lineRule="exact"/>
        <w:ind w:right="0" w:firstLine="320" w:firstLineChars="100"/>
        <w:jc w:val="both"/>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省财政厅</w:t>
      </w:r>
      <w:r>
        <w:rPr>
          <w:rFonts w:hint="eastAsia" w:ascii="仿宋_GB2312" w:hAnsi="仿宋_GB2312" w:eastAsia="仿宋_GB2312" w:cs="仿宋_GB2312"/>
          <w:sz w:val="32"/>
          <w:szCs w:val="32"/>
          <w:lang w:eastAsia="zh-CN"/>
        </w:rPr>
        <w:t>负责基本医疗保险财政专户管理，配合医疗保障部门开展监督检查</w:t>
      </w:r>
      <w:r>
        <w:rPr>
          <w:rFonts w:hint="eastAsia" w:ascii="仿宋_GB2312" w:hAnsi="仿宋_GB2312" w:eastAsia="仿宋_GB2312" w:cs="仿宋_GB2312"/>
          <w:color w:val="auto"/>
          <w:kern w:val="0"/>
          <w:sz w:val="32"/>
          <w:szCs w:val="32"/>
        </w:rPr>
        <w:t>。</w:t>
      </w: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普通门诊实行定点服务管理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全省</w:t>
      </w:r>
      <w:r>
        <w:rPr>
          <w:rFonts w:hint="eastAsia" w:ascii="仿宋_GB2312" w:hAnsi="仿宋_GB2312" w:eastAsia="仿宋_GB2312" w:cs="仿宋_GB2312"/>
          <w:color w:val="auto"/>
          <w:sz w:val="32"/>
          <w:szCs w:val="32"/>
          <w:lang w:eastAsia="zh-CN"/>
        </w:rPr>
        <w:t>城镇从业人员基本医疗保险定点医药机构</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城镇从业人员基本医疗保险</w:t>
      </w:r>
      <w:r>
        <w:rPr>
          <w:rFonts w:hint="eastAsia" w:ascii="仿宋_GB2312" w:hAnsi="仿宋_GB2312" w:eastAsia="仿宋_GB2312" w:cs="仿宋_GB2312"/>
          <w:color w:val="auto"/>
          <w:sz w:val="32"/>
          <w:szCs w:val="32"/>
        </w:rPr>
        <w:t>普通门诊定点医</w:t>
      </w:r>
      <w:r>
        <w:rPr>
          <w:rFonts w:hint="eastAsia" w:ascii="仿宋_GB2312" w:hAnsi="仿宋_GB2312" w:eastAsia="仿宋_GB2312" w:cs="仿宋_GB2312"/>
          <w:color w:val="auto"/>
          <w:sz w:val="32"/>
          <w:szCs w:val="32"/>
          <w:lang w:eastAsia="zh-CN"/>
        </w:rPr>
        <w:t>药</w:t>
      </w:r>
      <w:r>
        <w:rPr>
          <w:rFonts w:hint="eastAsia" w:ascii="仿宋_GB2312" w:hAnsi="仿宋_GB2312" w:eastAsia="仿宋_GB2312" w:cs="仿宋_GB2312"/>
          <w:color w:val="auto"/>
          <w:sz w:val="32"/>
          <w:szCs w:val="32"/>
        </w:rPr>
        <w:t>机构，负责参保</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普通门诊就医管理、诊疗服务。</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spacing w:line="580" w:lineRule="atLeast"/>
        <w:ind w:firstLine="640" w:firstLineChars="200"/>
        <w:jc w:val="center"/>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第二章</w:t>
      </w:r>
      <w:r>
        <w:rPr>
          <w:rFonts w:hint="eastAsia" w:ascii="黑体" w:hAnsi="黑体" w:eastAsia="黑体" w:cs="黑体"/>
          <w:b/>
          <w:bCs/>
          <w:color w:val="333333"/>
          <w:kern w:val="0"/>
          <w:sz w:val="32"/>
          <w:szCs w:val="32"/>
          <w:lang w:val="en-US" w:eastAsia="zh-CN"/>
        </w:rPr>
        <w:t xml:space="preserve"> </w:t>
      </w:r>
      <w:r>
        <w:rPr>
          <w:rFonts w:hint="eastAsia" w:ascii="黑体" w:hAnsi="黑体" w:eastAsia="黑体" w:cs="黑体"/>
          <w:b w:val="0"/>
          <w:bCs w:val="0"/>
          <w:color w:val="333333"/>
          <w:kern w:val="0"/>
          <w:sz w:val="32"/>
          <w:szCs w:val="32"/>
        </w:rPr>
        <w:t>基金与账户管理</w:t>
      </w:r>
    </w:p>
    <w:p>
      <w:pPr>
        <w:widowControl/>
        <w:spacing w:line="580" w:lineRule="atLeast"/>
        <w:ind w:firstLine="640" w:firstLineChars="200"/>
        <w:jc w:val="left"/>
        <w:rPr>
          <w:rFonts w:ascii="仿宋_GB2312" w:hAnsi="仿宋_GB2312" w:eastAsia="仿宋_GB2312" w:cs="仿宋_GB2312"/>
          <w:color w:val="333333"/>
          <w:kern w:val="0"/>
          <w:sz w:val="32"/>
          <w:szCs w:val="32"/>
        </w:rPr>
      </w:pPr>
    </w:p>
    <w:p>
      <w:pPr>
        <w:widowControl w:val="0"/>
        <w:numPr>
          <w:ilvl w:val="0"/>
          <w:numId w:val="0"/>
        </w:numPr>
        <w:wordWrap/>
        <w:adjustRightInd/>
        <w:snapToGrid/>
        <w:spacing w:before="0" w:after="0" w:line="560" w:lineRule="exact"/>
        <w:ind w:right="0" w:firstLine="642" w:firstLineChars="200"/>
        <w:jc w:val="both"/>
        <w:textAlignment w:val="auto"/>
        <w:outlineLvl w:val="9"/>
        <w:rPr>
          <w:rFonts w:hint="default"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城镇从业人员</w:t>
      </w:r>
      <w:r>
        <w:rPr>
          <w:rFonts w:hint="eastAsia" w:ascii="仿宋_GB2312" w:hAnsi="仿宋_GB2312" w:eastAsia="仿宋_GB2312" w:cs="仿宋_GB2312"/>
          <w:sz w:val="32"/>
          <w:szCs w:val="32"/>
        </w:rPr>
        <w:t>基本医疗保险普通门诊</w:t>
      </w:r>
      <w:r>
        <w:rPr>
          <w:rFonts w:hint="eastAsia" w:ascii="仿宋_GB2312" w:hAnsi="仿宋_GB2312" w:eastAsia="仿宋_GB2312" w:cs="仿宋_GB2312"/>
          <w:sz w:val="32"/>
          <w:szCs w:val="32"/>
          <w:lang w:eastAsia="zh-CN"/>
        </w:rPr>
        <w:t>共济保障</w:t>
      </w:r>
      <w:r>
        <w:rPr>
          <w:rFonts w:hint="eastAsia" w:ascii="仿宋_GB2312" w:hAnsi="仿宋_GB2312" w:eastAsia="仿宋_GB2312" w:cs="仿宋_GB2312"/>
          <w:sz w:val="32"/>
          <w:szCs w:val="32"/>
        </w:rPr>
        <w:t>所需资金从</w:t>
      </w:r>
      <w:r>
        <w:rPr>
          <w:rFonts w:hint="eastAsia" w:ascii="仿宋_GB2312" w:hAnsi="仿宋_GB2312" w:eastAsia="仿宋_GB2312" w:cs="仿宋_GB2312"/>
          <w:sz w:val="32"/>
          <w:szCs w:val="32"/>
          <w:lang w:eastAsia="zh-CN"/>
        </w:rPr>
        <w:t>城镇从业人员</w:t>
      </w:r>
      <w:r>
        <w:rPr>
          <w:rFonts w:hint="eastAsia" w:ascii="仿宋_GB2312" w:hAnsi="仿宋_GB2312" w:eastAsia="仿宋_GB2312" w:cs="仿宋_GB2312"/>
          <w:sz w:val="32"/>
          <w:szCs w:val="32"/>
        </w:rPr>
        <w:t>基本医疗保险统筹基金中列支，不另行筹集，不单独建账。</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城镇从业人员</w:t>
      </w:r>
      <w:r>
        <w:rPr>
          <w:rFonts w:hint="eastAsia" w:ascii="仿宋_GB2312" w:hAnsi="仿宋_GB2312" w:eastAsia="仿宋_GB2312" w:cs="仿宋_GB2312"/>
          <w:color w:val="auto"/>
          <w:sz w:val="32"/>
          <w:szCs w:val="32"/>
        </w:rPr>
        <w:t>基本医疗保险统筹基金支出户中设置普通门诊支出</w:t>
      </w:r>
      <w:r>
        <w:rPr>
          <w:rFonts w:hint="eastAsia" w:ascii="仿宋_GB2312" w:hAnsi="仿宋_GB2312" w:eastAsia="仿宋_GB2312" w:cs="仿宋_GB2312"/>
          <w:color w:val="auto"/>
          <w:sz w:val="32"/>
          <w:szCs w:val="32"/>
          <w:lang w:eastAsia="zh-CN"/>
        </w:rPr>
        <w:t>账目</w:t>
      </w:r>
      <w:r>
        <w:rPr>
          <w:rFonts w:hint="eastAsia" w:ascii="仿宋_GB2312" w:hAnsi="仿宋_GB2312" w:eastAsia="仿宋_GB2312" w:cs="仿宋_GB2312"/>
          <w:color w:val="auto"/>
          <w:sz w:val="32"/>
          <w:szCs w:val="32"/>
        </w:rPr>
        <w:t>。</w:t>
      </w:r>
    </w:p>
    <w:p>
      <w:pPr>
        <w:widowControl w:val="0"/>
        <w:numPr>
          <w:ilvl w:val="0"/>
          <w:numId w:val="0"/>
        </w:numPr>
        <w:tabs>
          <w:tab w:val="left" w:pos="7149"/>
        </w:tabs>
        <w:wordWrap/>
        <w:adjustRightInd/>
        <w:snapToGrid/>
        <w:spacing w:line="240" w:lineRule="auto"/>
        <w:ind w:leftChars="200" w:right="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b/>
      </w:r>
    </w:p>
    <w:p>
      <w:pPr>
        <w:widowControl/>
        <w:spacing w:line="580" w:lineRule="atLeast"/>
        <w:ind w:firstLine="640" w:firstLineChars="200"/>
        <w:jc w:val="center"/>
        <w:rPr>
          <w:rFonts w:hint="eastAsia" w:ascii="黑体" w:hAnsi="黑体" w:eastAsia="黑体" w:cs="黑体"/>
          <w:b/>
          <w:bCs/>
          <w:color w:val="333333"/>
          <w:kern w:val="0"/>
          <w:sz w:val="32"/>
          <w:szCs w:val="32"/>
        </w:rPr>
      </w:pPr>
      <w:r>
        <w:rPr>
          <w:rFonts w:hint="eastAsia" w:ascii="黑体" w:hAnsi="黑体" w:eastAsia="黑体" w:cs="黑体"/>
          <w:b w:val="0"/>
          <w:bCs w:val="0"/>
          <w:color w:val="333333"/>
          <w:kern w:val="0"/>
          <w:sz w:val="32"/>
          <w:szCs w:val="32"/>
        </w:rPr>
        <w:t>第三章</w:t>
      </w:r>
      <w:r>
        <w:rPr>
          <w:rFonts w:hint="eastAsia" w:ascii="黑体" w:hAnsi="黑体" w:eastAsia="黑体" w:cs="黑体"/>
          <w:b w:val="0"/>
          <w:bCs w:val="0"/>
          <w:color w:val="333333"/>
          <w:kern w:val="0"/>
          <w:sz w:val="32"/>
          <w:szCs w:val="32"/>
          <w:lang w:val="en-US" w:eastAsia="zh-CN"/>
        </w:rPr>
        <w:t xml:space="preserve"> </w:t>
      </w:r>
      <w:r>
        <w:rPr>
          <w:rFonts w:hint="eastAsia" w:ascii="黑体" w:hAnsi="黑体" w:eastAsia="黑体" w:cs="黑体"/>
          <w:b w:val="0"/>
          <w:bCs w:val="0"/>
          <w:color w:val="333333"/>
          <w:kern w:val="0"/>
          <w:sz w:val="32"/>
          <w:szCs w:val="32"/>
          <w:lang w:eastAsia="zh-CN"/>
        </w:rPr>
        <w:t>保障范围与支付标准</w:t>
      </w:r>
    </w:p>
    <w:p>
      <w:pPr>
        <w:widowControl/>
        <w:spacing w:line="580" w:lineRule="atLeast"/>
        <w:ind w:firstLine="642" w:firstLineChars="200"/>
        <w:jc w:val="center"/>
        <w:rPr>
          <w:rFonts w:ascii="仿宋_GB2312" w:hAnsi="仿宋_GB2312" w:eastAsia="仿宋_GB2312" w:cs="仿宋_GB2312"/>
          <w:b/>
          <w:bCs/>
          <w:color w:val="333333"/>
          <w:kern w:val="0"/>
          <w:sz w:val="32"/>
          <w:szCs w:val="32"/>
        </w:rPr>
      </w:pPr>
    </w:p>
    <w:p>
      <w:pPr>
        <w:widowControl w:val="0"/>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参保</w:t>
      </w:r>
      <w:r>
        <w:rPr>
          <w:rFonts w:hint="eastAsia" w:ascii="仿宋_GB2312" w:hAnsi="仿宋_GB2312" w:eastAsia="仿宋_GB2312" w:cs="仿宋_GB2312"/>
          <w:sz w:val="32"/>
          <w:szCs w:val="32"/>
          <w:lang w:eastAsia="zh-CN"/>
        </w:rPr>
        <w:t>人员在定点医药机构发生的</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eastAsia="zh-CN"/>
        </w:rPr>
        <w:t>基本医疗保险规定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普通门诊</w:t>
      </w:r>
      <w:r>
        <w:rPr>
          <w:rFonts w:hint="eastAsia" w:ascii="仿宋_GB2312" w:hAnsi="仿宋_GB2312" w:eastAsia="仿宋_GB2312" w:cs="仿宋_GB2312"/>
          <w:sz w:val="32"/>
          <w:szCs w:val="32"/>
          <w:lang w:val="en-US" w:eastAsia="zh-CN"/>
        </w:rPr>
        <w:t>医疗费用，</w:t>
      </w:r>
      <w:r>
        <w:rPr>
          <w:rFonts w:hint="eastAsia" w:ascii="仿宋_GB2312" w:hAnsi="仿宋_GB2312" w:eastAsia="仿宋_GB2312" w:cs="仿宋_GB2312"/>
          <w:sz w:val="32"/>
          <w:szCs w:val="32"/>
          <w:highlight w:val="none"/>
        </w:rPr>
        <w:t>纳入统筹基金支付</w:t>
      </w:r>
      <w:r>
        <w:rPr>
          <w:rFonts w:hint="eastAsia" w:ascii="仿宋_GB2312" w:hAnsi="仿宋_GB2312" w:eastAsia="仿宋_GB2312" w:cs="仿宋_GB2312"/>
          <w:sz w:val="32"/>
          <w:szCs w:val="32"/>
          <w:highlight w:val="none"/>
          <w:lang w:eastAsia="zh-CN"/>
        </w:rPr>
        <w:t>范围。</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（一）一级及以下定点医疗机构</w:t>
      </w:r>
      <w:r>
        <w:rPr>
          <w:rFonts w:hint="eastAsia" w:ascii="仿宋_GB2312" w:hAnsi="仿宋_GB2312"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lang w:eastAsia="zh-CN"/>
        </w:rPr>
        <w:t>起付标准为</w:t>
      </w:r>
      <w:r>
        <w:rPr>
          <w:rFonts w:hint="eastAsia" w:ascii="仿宋_GB2312" w:hAnsi="仿宋_GB2312" w:eastAsia="仿宋_GB2312" w:cs="仿宋_GB2312"/>
          <w:color w:val="auto"/>
          <w:sz w:val="32"/>
          <w:szCs w:val="32"/>
          <w:lang w:val="en-US" w:eastAsia="zh-CN"/>
        </w:rPr>
        <w:t>10元</w:t>
      </w:r>
      <w:r>
        <w:rPr>
          <w:rFonts w:hint="eastAsia" w:ascii="仿宋_GB2312" w:hAnsi="仿宋_GB2312" w:eastAsia="仿宋_GB2312" w:cs="仿宋_GB2312"/>
          <w:color w:val="auto"/>
          <w:sz w:val="32"/>
          <w:szCs w:val="32"/>
          <w:lang w:eastAsia="zh-CN"/>
        </w:rPr>
        <w:t>；二级定点医疗机构</w:t>
      </w:r>
      <w:r>
        <w:rPr>
          <w:rFonts w:hint="eastAsia" w:ascii="仿宋_GB2312" w:hAnsi="仿宋_GB2312" w:eastAsia="仿宋_GB2312" w:cs="仿宋_GB2312"/>
          <w:color w:val="auto"/>
          <w:sz w:val="32"/>
          <w:szCs w:val="32"/>
          <w:highlight w:val="none"/>
          <w:lang w:val="en-US" w:eastAsia="zh-CN"/>
        </w:rPr>
        <w:t>年度起</w:t>
      </w:r>
      <w:r>
        <w:rPr>
          <w:rFonts w:hint="eastAsia" w:ascii="仿宋_GB2312" w:hAnsi="仿宋_GB2312" w:eastAsia="仿宋_GB2312" w:cs="仿宋_GB2312"/>
          <w:color w:val="auto"/>
          <w:sz w:val="32"/>
          <w:szCs w:val="32"/>
          <w:lang w:eastAsia="zh-CN"/>
        </w:rPr>
        <w:t>付标准为</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；三级定点医疗机构</w:t>
      </w:r>
      <w:r>
        <w:rPr>
          <w:rFonts w:hint="eastAsia" w:ascii="仿宋_GB2312" w:hAnsi="仿宋_GB2312" w:eastAsia="仿宋_GB2312" w:cs="仿宋_GB2312"/>
          <w:color w:val="auto"/>
          <w:sz w:val="32"/>
          <w:szCs w:val="32"/>
          <w:highlight w:val="none"/>
          <w:lang w:val="en-US" w:eastAsia="zh-CN"/>
        </w:rPr>
        <w:t>年度起</w:t>
      </w:r>
      <w:r>
        <w:rPr>
          <w:rFonts w:hint="eastAsia" w:ascii="仿宋_GB2312" w:hAnsi="仿宋_GB2312" w:eastAsia="仿宋_GB2312" w:cs="仿宋_GB2312"/>
          <w:color w:val="auto"/>
          <w:sz w:val="32"/>
          <w:szCs w:val="32"/>
          <w:lang w:eastAsia="zh-CN"/>
        </w:rPr>
        <w:t>付标准为</w:t>
      </w:r>
      <w:r>
        <w:rPr>
          <w:rFonts w:hint="default" w:ascii="仿宋_GB2312" w:hAnsi="仿宋_GB2312" w:eastAsia="仿宋_GB2312" w:cs="仿宋_GB2312"/>
          <w:color w:val="auto"/>
          <w:sz w:val="32"/>
          <w:szCs w:val="32"/>
          <w:lang w:eastAsia="zh-CN"/>
        </w:rPr>
        <w:t>100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普通门诊年度累计最高支付</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color w:val="auto"/>
          <w:sz w:val="32"/>
          <w:szCs w:val="32"/>
          <w:lang w:val="en-US" w:eastAsia="zh-CN"/>
        </w:rPr>
        <w:t>准</w:t>
      </w:r>
      <w:r>
        <w:rPr>
          <w:rFonts w:hint="eastAsia" w:ascii="仿宋_GB2312" w:hAnsi="仿宋_GB2312" w:eastAsia="仿宋_GB2312" w:cs="仿宋_GB2312"/>
          <w:color w:val="auto"/>
          <w:sz w:val="32"/>
          <w:szCs w:val="32"/>
          <w:lang w:eastAsia="zh-CN"/>
        </w:rPr>
        <w:t>（含一般诊疗费）</w:t>
      </w:r>
      <w:r>
        <w:rPr>
          <w:rFonts w:hint="eastAsia" w:ascii="仿宋_GB2312" w:hAnsi="仿宋_GB2312" w:eastAsia="仿宋_GB2312" w:cs="仿宋_GB2312"/>
          <w:color w:val="auto"/>
          <w:sz w:val="32"/>
          <w:szCs w:val="32"/>
          <w:lang w:val="en-US" w:eastAsia="zh-CN"/>
        </w:rPr>
        <w:t>：在职人员为</w:t>
      </w:r>
      <w:r>
        <w:rPr>
          <w:rFonts w:hint="default" w:ascii="仿宋_GB2312" w:hAnsi="仿宋_GB2312" w:eastAsia="仿宋_GB2312" w:cs="仿宋_GB2312"/>
          <w:color w:val="auto"/>
          <w:sz w:val="32"/>
          <w:szCs w:val="32"/>
          <w:lang w:eastAsia="zh-CN"/>
        </w:rPr>
        <w:t>1500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、退休人员为</w:t>
      </w:r>
      <w:r>
        <w:rPr>
          <w:rFonts w:hint="eastAsia" w:ascii="仿宋_GB2312" w:hAnsi="仿宋_GB2312" w:eastAsia="仿宋_GB2312" w:cs="仿宋_GB2312"/>
          <w:color w:val="auto"/>
          <w:sz w:val="32"/>
          <w:szCs w:val="32"/>
          <w:lang w:val="en-US" w:eastAsia="zh-CN"/>
        </w:rPr>
        <w:t>2000元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计</w:t>
      </w:r>
      <w:r>
        <w:rPr>
          <w:rFonts w:hint="eastAsia" w:ascii="仿宋_GB2312" w:hAnsi="仿宋_GB2312" w:eastAsia="仿宋_GB2312" w:cs="仿宋_GB2312"/>
          <w:color w:val="auto"/>
          <w:sz w:val="32"/>
          <w:szCs w:val="32"/>
        </w:rPr>
        <w:t>入统筹基金年度最高支付</w:t>
      </w:r>
      <w:r>
        <w:rPr>
          <w:rFonts w:hint="eastAsia" w:ascii="仿宋_GB2312" w:hAnsi="仿宋_GB2312" w:eastAsia="仿宋_GB2312" w:cs="仿宋_GB2312"/>
          <w:color w:val="auto"/>
          <w:sz w:val="32"/>
          <w:szCs w:val="32"/>
          <w:lang w:eastAsia="zh-CN"/>
        </w:rPr>
        <w:t>标准内</w:t>
      </w:r>
      <w:r>
        <w:rPr>
          <w:rFonts w:hint="eastAsia" w:ascii="仿宋_GB2312" w:hAnsi="仿宋_GB2312" w:eastAsia="仿宋_GB2312" w:cs="仿宋_GB2312"/>
          <w:color w:val="auto"/>
          <w:sz w:val="32"/>
          <w:szCs w:val="32"/>
        </w:rPr>
        <w:t>。</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参保人员</w:t>
      </w:r>
      <w:r>
        <w:rPr>
          <w:rFonts w:hint="eastAsia" w:ascii="仿宋_GB2312" w:hAnsi="仿宋_GB2312" w:eastAsia="仿宋_GB2312" w:cs="仿宋_GB2312"/>
          <w:sz w:val="32"/>
          <w:szCs w:val="32"/>
          <w:highlight w:val="none"/>
          <w:lang w:val="en-US" w:eastAsia="zh-CN"/>
        </w:rPr>
        <w:t>发生起付标准以上、</w:t>
      </w:r>
      <w:r>
        <w:rPr>
          <w:rFonts w:hint="eastAsia" w:ascii="仿宋_GB2312" w:hAnsi="仿宋_GB2312" w:eastAsia="仿宋_GB2312" w:cs="仿宋_GB2312"/>
          <w:sz w:val="32"/>
          <w:szCs w:val="32"/>
        </w:rPr>
        <w:t>最高支付</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以下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门诊医疗费用，由统筹基金和参保</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按比例分担：一级及以下定点医疗机构，</w:t>
      </w:r>
      <w:r>
        <w:rPr>
          <w:rFonts w:hint="eastAsia" w:ascii="仿宋_GB2312" w:hAnsi="仿宋_GB2312" w:eastAsia="仿宋_GB2312" w:cs="仿宋_GB2312"/>
          <w:color w:val="auto"/>
          <w:sz w:val="32"/>
          <w:szCs w:val="32"/>
        </w:rPr>
        <w:t>统筹基金支付比例为</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%，个人支付比例为</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%；二级定点医疗机构统筹基金支付比例为</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%，个人支付比例为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级定点医疗机构统筹基金支付比例为</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%，个人支付比例为</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widowControl w:val="0"/>
        <w:numPr>
          <w:ilvl w:val="-1"/>
          <w:numId w:val="0"/>
        </w:numPr>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rPr>
        <w:t>退休人员基本医疗保险</w:t>
      </w:r>
      <w:r>
        <w:rPr>
          <w:rFonts w:hint="eastAsia" w:ascii="仿宋_GB2312" w:hAnsi="仿宋_GB2312" w:eastAsia="仿宋_GB2312" w:cs="仿宋_GB2312"/>
          <w:color w:val="auto"/>
          <w:kern w:val="2"/>
          <w:sz w:val="32"/>
          <w:szCs w:val="32"/>
          <w:lang w:eastAsia="zh-CN"/>
        </w:rPr>
        <w:t>累计缴费年限未达到《海南省城镇从业人员基本医疗保险条例》规定的，</w:t>
      </w:r>
      <w:r>
        <w:rPr>
          <w:rFonts w:hint="eastAsia" w:ascii="仿宋_GB2312" w:hAnsi="仿宋_GB2312" w:eastAsia="仿宋_GB2312" w:cs="仿宋_GB2312"/>
          <w:color w:val="auto"/>
          <w:kern w:val="2"/>
          <w:sz w:val="32"/>
          <w:szCs w:val="32"/>
        </w:rPr>
        <w:t>每减少一年</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lang w:eastAsia="zh-CN"/>
        </w:rPr>
        <w:t>普通门诊</w:t>
      </w:r>
      <w:r>
        <w:rPr>
          <w:rFonts w:hint="eastAsia" w:ascii="仿宋_GB2312" w:hAnsi="仿宋_GB2312" w:eastAsia="仿宋_GB2312" w:cs="仿宋_GB2312"/>
          <w:color w:val="auto"/>
          <w:sz w:val="32"/>
          <w:szCs w:val="32"/>
          <w:lang w:eastAsia="zh-CN"/>
        </w:rPr>
        <w:t>统筹基金支付</w:t>
      </w:r>
      <w:r>
        <w:rPr>
          <w:rFonts w:hint="eastAsia" w:ascii="仿宋_GB2312" w:hAnsi="仿宋_GB2312" w:eastAsia="仿宋_GB2312" w:cs="仿宋_GB2312"/>
          <w:color w:val="auto"/>
          <w:sz w:val="32"/>
          <w:szCs w:val="32"/>
        </w:rPr>
        <w:t>比例降低3%。</w:t>
      </w:r>
    </w:p>
    <w:p>
      <w:pPr>
        <w:widowControl w:val="0"/>
        <w:numPr>
          <w:ilvl w:val="0"/>
          <w:numId w:val="1"/>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及以下</w:t>
      </w:r>
      <w:r>
        <w:rPr>
          <w:rFonts w:hint="eastAsia" w:ascii="仿宋_GB2312" w:hAnsi="仿宋_GB2312" w:eastAsia="仿宋_GB2312" w:cs="仿宋_GB2312"/>
          <w:color w:val="auto"/>
          <w:sz w:val="32"/>
          <w:szCs w:val="32"/>
          <w:highlight w:val="none"/>
        </w:rPr>
        <w:t>医疗机构</w:t>
      </w:r>
      <w:r>
        <w:rPr>
          <w:rFonts w:hint="eastAsia" w:ascii="仿宋_GB2312" w:hAnsi="仿宋_GB2312" w:eastAsia="仿宋_GB2312" w:cs="仿宋_GB2312"/>
          <w:color w:val="auto"/>
          <w:sz w:val="32"/>
          <w:szCs w:val="32"/>
          <w:highlight w:val="none"/>
          <w:lang w:eastAsia="zh-CN"/>
        </w:rPr>
        <w:t>设</w:t>
      </w:r>
      <w:r>
        <w:rPr>
          <w:rFonts w:hint="eastAsia" w:ascii="仿宋_GB2312" w:hAnsi="仿宋_GB2312" w:eastAsia="仿宋_GB2312" w:cs="仿宋_GB2312"/>
          <w:color w:val="auto"/>
          <w:sz w:val="32"/>
          <w:szCs w:val="32"/>
          <w:highlight w:val="none"/>
          <w:lang w:val="en-US" w:eastAsia="zh-CN"/>
        </w:rPr>
        <w:t>一般诊疗费、二级及以上医疗机构不设一般诊疗费，按照海南省</w:t>
      </w:r>
      <w:r>
        <w:rPr>
          <w:rFonts w:hint="eastAsia" w:ascii="仿宋" w:hAnsi="仿宋" w:eastAsia="仿宋" w:cs="仿宋"/>
          <w:color w:val="auto"/>
          <w:sz w:val="32"/>
          <w:szCs w:val="32"/>
        </w:rPr>
        <w:t>基本医疗保险诊疗项目</w:t>
      </w:r>
      <w:r>
        <w:rPr>
          <w:rFonts w:hint="eastAsia" w:ascii="仿宋" w:hAnsi="仿宋" w:eastAsia="仿宋" w:cs="仿宋"/>
          <w:color w:val="auto"/>
          <w:sz w:val="32"/>
          <w:szCs w:val="32"/>
          <w:lang w:eastAsia="zh-CN"/>
        </w:rPr>
        <w:t>相关规定</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lang w:eastAsia="zh-CN"/>
        </w:rPr>
        <w:t>。</w:t>
      </w: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符合</w:t>
      </w:r>
      <w:r>
        <w:rPr>
          <w:rFonts w:hint="eastAsia" w:ascii="仿宋_GB2312" w:hAnsi="仿宋_GB2312" w:eastAsia="仿宋_GB2312" w:cs="仿宋_GB2312"/>
          <w:color w:val="auto"/>
          <w:sz w:val="32"/>
          <w:szCs w:val="32"/>
        </w:rPr>
        <w:t>肺癌、胃癌、肝癌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大肠</w:t>
      </w:r>
      <w:r>
        <w:rPr>
          <w:rFonts w:hint="eastAsia" w:ascii="仿宋_GB2312" w:hAnsi="仿宋_GB2312" w:eastAsia="仿宋_GB2312" w:cs="仿宋_GB2312"/>
          <w:sz w:val="32"/>
          <w:szCs w:val="32"/>
        </w:rPr>
        <w:t>癌</w:t>
      </w:r>
      <w:r>
        <w:rPr>
          <w:rFonts w:hint="eastAsia" w:ascii="仿宋_GB2312" w:hAnsi="仿宋_GB2312" w:eastAsia="仿宋_GB2312" w:cs="仿宋_GB2312"/>
          <w:sz w:val="32"/>
          <w:szCs w:val="32"/>
          <w:lang w:val="en-US" w:eastAsia="zh-CN"/>
        </w:rPr>
        <w:t>和女性</w:t>
      </w:r>
      <w:r>
        <w:rPr>
          <w:rFonts w:hint="eastAsia" w:ascii="仿宋_GB2312" w:hAnsi="仿宋_GB2312" w:eastAsia="仿宋_GB2312" w:cs="仿宋_GB2312"/>
          <w:sz w:val="32"/>
          <w:szCs w:val="32"/>
          <w:lang w:eastAsia="zh-CN"/>
        </w:rPr>
        <w:t>乳腺癌、宫颈癌</w:t>
      </w:r>
      <w:r>
        <w:rPr>
          <w:rFonts w:hint="eastAsia" w:ascii="仿宋_GB2312" w:hAnsi="仿宋_GB2312" w:eastAsia="仿宋_GB2312" w:cs="仿宋_GB2312"/>
          <w:sz w:val="32"/>
          <w:szCs w:val="32"/>
          <w:lang w:val="en-US" w:eastAsia="zh-CN"/>
        </w:rPr>
        <w:t>筛查条件</w:t>
      </w:r>
      <w:r>
        <w:rPr>
          <w:rFonts w:hint="eastAsia" w:ascii="仿宋_GB2312" w:hAnsi="仿宋_GB2312" w:eastAsia="仿宋_GB2312" w:cs="仿宋_GB2312"/>
          <w:sz w:val="32"/>
          <w:szCs w:val="32"/>
        </w:rPr>
        <w:t>的参保</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，可在定点医疗机构进行专项筛查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具体筛查标准详见附件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。符合医保规定的专项筛查费</w:t>
      </w:r>
      <w:r>
        <w:rPr>
          <w:rFonts w:hint="eastAsia" w:ascii="仿宋_GB2312" w:hAnsi="仿宋_GB2312" w:eastAsia="仿宋_GB2312" w:cs="仿宋_GB2312"/>
          <w:sz w:val="32"/>
          <w:szCs w:val="32"/>
          <w:lang w:val="en-US" w:eastAsia="zh-CN"/>
        </w:rPr>
        <w:t>计入普通门诊统筹基金年度最高支付标准，累计支付</w:t>
      </w:r>
      <w:r>
        <w:rPr>
          <w:rFonts w:hint="eastAsia" w:ascii="仿宋_GB2312" w:hAnsi="仿宋_GB2312" w:eastAsia="仿宋_GB2312" w:cs="仿宋_GB2312"/>
          <w:sz w:val="32"/>
          <w:szCs w:val="32"/>
        </w:rPr>
        <w:t>不超过普通门诊年度最高支付</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的</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w:t>
      </w:r>
    </w:p>
    <w:p>
      <w:pPr>
        <w:widowControl/>
        <w:wordWrap/>
        <w:adjustRightInd/>
        <w:snapToGrid/>
        <w:spacing w:before="0" w:after="0" w:line="560" w:lineRule="exact"/>
        <w:ind w:left="0" w:leftChars="0" w:right="0" w:firstLine="642" w:firstLineChars="200"/>
        <w:jc w:val="left"/>
        <w:textAlignment w:val="auto"/>
        <w:outlineLvl w:val="9"/>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w:t>
      </w:r>
      <w:r>
        <w:rPr>
          <w:rFonts w:hint="eastAsia" w:ascii="仿宋_GB2312" w:hAnsi="仿宋_GB2312" w:eastAsia="仿宋_GB2312" w:cs="仿宋_GB2312"/>
          <w:b/>
          <w:bCs/>
          <w:color w:val="333333"/>
          <w:kern w:val="0"/>
          <w:sz w:val="32"/>
          <w:szCs w:val="32"/>
          <w:lang w:eastAsia="zh-CN"/>
        </w:rPr>
        <w:t>八</w:t>
      </w:r>
      <w:r>
        <w:rPr>
          <w:rFonts w:hint="eastAsia" w:ascii="仿宋_GB2312" w:hAnsi="仿宋_GB2312" w:eastAsia="仿宋_GB2312" w:cs="仿宋_GB2312"/>
          <w:b/>
          <w:bCs/>
          <w:color w:val="333333"/>
          <w:kern w:val="0"/>
          <w:sz w:val="32"/>
          <w:szCs w:val="32"/>
        </w:rPr>
        <w:t>条</w:t>
      </w:r>
      <w:r>
        <w:rPr>
          <w:rFonts w:hint="eastAsia" w:ascii="仿宋_GB2312" w:hAnsi="仿宋_GB2312" w:eastAsia="仿宋_GB2312" w:cs="仿宋_GB2312"/>
          <w:color w:val="333333"/>
          <w:kern w:val="0"/>
          <w:sz w:val="32"/>
          <w:szCs w:val="32"/>
        </w:rPr>
        <w:t xml:space="preserve"> 不纳入</w:t>
      </w:r>
      <w:r>
        <w:rPr>
          <w:rFonts w:hint="eastAsia" w:ascii="仿宋_GB2312" w:hAnsi="仿宋_GB2312" w:eastAsia="仿宋_GB2312" w:cs="仿宋_GB2312"/>
          <w:sz w:val="32"/>
          <w:szCs w:val="32"/>
          <w:highlight w:val="none"/>
          <w:lang w:eastAsia="zh-CN"/>
        </w:rPr>
        <w:t>城镇从业人员</w:t>
      </w:r>
      <w:r>
        <w:rPr>
          <w:rFonts w:hint="eastAsia" w:ascii="仿宋_GB2312" w:hAnsi="仿宋_GB2312" w:eastAsia="仿宋_GB2312" w:cs="仿宋_GB2312"/>
          <w:color w:val="333333"/>
          <w:kern w:val="0"/>
          <w:sz w:val="32"/>
          <w:szCs w:val="32"/>
        </w:rPr>
        <w:t>基本医疗保险普通门诊支付</w:t>
      </w:r>
      <w:r>
        <w:rPr>
          <w:rFonts w:hint="eastAsia" w:ascii="仿宋_GB2312" w:hAnsi="仿宋_GB2312" w:eastAsia="仿宋_GB2312" w:cs="仿宋_GB2312"/>
          <w:color w:val="333333"/>
          <w:kern w:val="0"/>
          <w:sz w:val="32"/>
          <w:szCs w:val="32"/>
          <w:lang w:eastAsia="zh-CN"/>
        </w:rPr>
        <w:t>范围</w:t>
      </w:r>
      <w:r>
        <w:rPr>
          <w:rFonts w:hint="eastAsia" w:ascii="仿宋_GB2312" w:hAnsi="仿宋_GB2312" w:eastAsia="仿宋_GB2312" w:cs="仿宋_GB2312"/>
          <w:color w:val="333333"/>
          <w:kern w:val="0"/>
          <w:sz w:val="32"/>
          <w:szCs w:val="32"/>
        </w:rPr>
        <w:t>的医疗费用：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享受门诊慢性特殊疾病待遇期间发生该疾病的普通门诊医疗费用；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已纳入</w:t>
      </w:r>
      <w:r>
        <w:rPr>
          <w:rFonts w:hint="eastAsia" w:ascii="仿宋_GB2312" w:hAnsi="仿宋_GB2312" w:eastAsia="仿宋_GB2312" w:cs="仿宋_GB2312"/>
          <w:sz w:val="32"/>
          <w:szCs w:val="32"/>
          <w:lang w:eastAsia="zh-CN"/>
        </w:rPr>
        <w:t>城镇从业人员</w:t>
      </w:r>
      <w:r>
        <w:rPr>
          <w:rFonts w:hint="eastAsia" w:ascii="仿宋_GB2312" w:hAnsi="仿宋_GB2312" w:eastAsia="仿宋_GB2312" w:cs="仿宋_GB2312"/>
          <w:sz w:val="32"/>
          <w:szCs w:val="32"/>
        </w:rPr>
        <w:t>基本医疗保险住院结算的</w:t>
      </w:r>
      <w:r>
        <w:rPr>
          <w:rFonts w:hint="eastAsia" w:ascii="仿宋_GB2312" w:hAnsi="仿宋_GB2312" w:eastAsia="仿宋_GB2312" w:cs="仿宋_GB2312"/>
          <w:sz w:val="32"/>
          <w:szCs w:val="32"/>
          <w:lang w:eastAsia="zh-CN"/>
        </w:rPr>
        <w:t>院前</w:t>
      </w:r>
      <w:r>
        <w:rPr>
          <w:rFonts w:hint="eastAsia" w:ascii="仿宋_GB2312" w:hAnsi="仿宋_GB2312" w:eastAsia="仿宋_GB2312" w:cs="仿宋_GB2312"/>
          <w:sz w:val="32"/>
          <w:szCs w:val="32"/>
        </w:rPr>
        <w:t>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抢救</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医疗费用；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住院期间发生的普通门诊医疗费用；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（四）超过普通门诊年度最高支付标准以上的医疗费用</w:t>
      </w:r>
      <w:r>
        <w:rPr>
          <w:rFonts w:hint="eastAsia" w:ascii="仿宋_GB2312" w:hAnsi="仿宋_GB2312" w:eastAsia="仿宋_GB2312" w:cs="仿宋_GB2312"/>
          <w:color w:val="auto"/>
          <w:sz w:val="32"/>
          <w:szCs w:val="32"/>
          <w:highlight w:val="none"/>
          <w:lang w:val="en-US" w:eastAsia="zh-CN"/>
        </w:rPr>
        <w:t>。</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应当从工伤保险基金中支付的</w:t>
      </w:r>
      <w:r>
        <w:rPr>
          <w:rFonts w:hint="eastAsia" w:ascii="仿宋_GB2312" w:hAnsi="仿宋_GB2312" w:eastAsia="仿宋_GB2312" w:cs="仿宋_GB2312"/>
          <w:sz w:val="32"/>
          <w:szCs w:val="32"/>
          <w:highlight w:val="none"/>
          <w:lang w:val="en-US" w:eastAsia="zh-CN"/>
        </w:rPr>
        <w:t>医疗费用</w:t>
      </w:r>
      <w:r>
        <w:rPr>
          <w:rFonts w:hint="eastAsia" w:ascii="仿宋_GB2312" w:hAnsi="仿宋_GB2312" w:eastAsia="仿宋_GB2312" w:cs="仿宋_GB2312"/>
          <w:sz w:val="32"/>
          <w:szCs w:val="32"/>
        </w:rPr>
        <w:t>；</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应当由第三人负担的</w:t>
      </w:r>
      <w:r>
        <w:rPr>
          <w:rFonts w:hint="eastAsia" w:ascii="仿宋_GB2312" w:hAnsi="仿宋_GB2312" w:eastAsia="仿宋_GB2312" w:cs="仿宋_GB2312"/>
          <w:sz w:val="32"/>
          <w:szCs w:val="32"/>
          <w:highlight w:val="none"/>
          <w:lang w:val="en-US" w:eastAsia="zh-CN"/>
        </w:rPr>
        <w:t>医疗费用</w:t>
      </w:r>
      <w:r>
        <w:rPr>
          <w:rFonts w:hint="eastAsia" w:ascii="仿宋_GB2312" w:hAnsi="仿宋_GB2312" w:eastAsia="仿宋_GB2312" w:cs="仿宋_GB2312"/>
          <w:sz w:val="32"/>
          <w:szCs w:val="32"/>
        </w:rPr>
        <w:t>；</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应当由公共卫生负担的</w:t>
      </w:r>
      <w:r>
        <w:rPr>
          <w:rFonts w:hint="eastAsia" w:ascii="仿宋_GB2312" w:hAnsi="仿宋_GB2312" w:eastAsia="仿宋_GB2312" w:cs="仿宋_GB2312"/>
          <w:sz w:val="32"/>
          <w:szCs w:val="32"/>
          <w:highlight w:val="none"/>
          <w:lang w:val="en-US" w:eastAsia="zh-CN"/>
        </w:rPr>
        <w:t>医疗费用</w:t>
      </w:r>
      <w:r>
        <w:rPr>
          <w:rFonts w:hint="eastAsia" w:ascii="仿宋_GB2312" w:hAnsi="仿宋_GB2312" w:eastAsia="仿宋_GB2312" w:cs="仿宋_GB2312"/>
          <w:sz w:val="32"/>
          <w:szCs w:val="32"/>
        </w:rPr>
        <w:t>；</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（八）境外发生的</w:t>
      </w:r>
      <w:r>
        <w:rPr>
          <w:rFonts w:hint="eastAsia" w:ascii="仿宋_GB2312" w:hAnsi="仿宋_GB2312" w:eastAsia="仿宋_GB2312" w:cs="仿宋_GB2312"/>
          <w:sz w:val="32"/>
          <w:szCs w:val="32"/>
          <w:highlight w:val="none"/>
          <w:lang w:val="en-US" w:eastAsia="zh-CN"/>
        </w:rPr>
        <w:t>医疗费用</w:t>
      </w:r>
      <w:r>
        <w:rPr>
          <w:rFonts w:hint="eastAsia" w:ascii="仿宋_GB2312" w:hAnsi="仿宋_GB2312" w:eastAsia="仿宋_GB2312" w:cs="仿宋_GB2312"/>
          <w:sz w:val="32"/>
          <w:szCs w:val="32"/>
        </w:rPr>
        <w:t>；</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（九）因酗酒、吸毒、自杀自残、违法犯罪等支出的医疗费用。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（十）其</w:t>
      </w:r>
      <w:r>
        <w:rPr>
          <w:rFonts w:hint="eastAsia" w:ascii="仿宋_GB2312" w:hAnsi="仿宋_GB2312" w:eastAsia="仿宋_GB2312" w:cs="仿宋_GB2312"/>
          <w:sz w:val="32"/>
          <w:szCs w:val="32"/>
        </w:rPr>
        <w:t>它不符合基本医疗保险支付范围</w:t>
      </w:r>
      <w:r>
        <w:rPr>
          <w:rFonts w:hint="eastAsia" w:ascii="仿宋_GB2312" w:hAnsi="仿宋_GB2312" w:eastAsia="仿宋_GB2312" w:cs="仿宋_GB2312"/>
          <w:sz w:val="32"/>
          <w:szCs w:val="32"/>
          <w:lang w:eastAsia="zh-CN"/>
        </w:rPr>
        <w:t>和支付标准</w:t>
      </w:r>
      <w:r>
        <w:rPr>
          <w:rFonts w:hint="eastAsia" w:ascii="仿宋_GB2312" w:hAnsi="仿宋_GB2312" w:eastAsia="仿宋_GB2312" w:cs="仿宋_GB2312"/>
          <w:sz w:val="32"/>
          <w:szCs w:val="32"/>
        </w:rPr>
        <w:t>的费用。</w:t>
      </w:r>
    </w:p>
    <w:p>
      <w:pPr>
        <w:widowControl w:val="0"/>
        <w:wordWrap/>
        <w:adjustRightInd/>
        <w:snapToGrid/>
        <w:spacing w:before="0" w:after="0" w:line="560" w:lineRule="exact"/>
        <w:ind w:left="0" w:leftChars="0" w:right="0" w:firstLine="64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highlight w:val="none"/>
          <w:lang w:val="en-US" w:eastAsia="zh-CN"/>
        </w:rPr>
        <w:t>省医疗保障局</w:t>
      </w:r>
      <w:r>
        <w:rPr>
          <w:rFonts w:hint="eastAsia" w:ascii="仿宋_GB2312" w:hAnsi="仿宋_GB2312" w:eastAsia="仿宋_GB2312" w:cs="仿宋_GB2312"/>
          <w:sz w:val="32"/>
          <w:szCs w:val="32"/>
        </w:rPr>
        <w:t>根据统筹基金运行和</w:t>
      </w:r>
      <w:r>
        <w:rPr>
          <w:rFonts w:hint="eastAsia" w:ascii="仿宋_GB2312" w:hAnsi="仿宋_GB2312" w:eastAsia="仿宋_GB2312" w:cs="仿宋_GB2312"/>
          <w:sz w:val="32"/>
          <w:szCs w:val="32"/>
          <w:lang w:eastAsia="zh-CN"/>
        </w:rPr>
        <w:t>经济社会发展情况</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普通</w:t>
      </w:r>
      <w:r>
        <w:rPr>
          <w:rFonts w:hint="eastAsia" w:ascii="仿宋_GB2312" w:hAnsi="仿宋_GB2312" w:eastAsia="仿宋_GB2312" w:cs="仿宋_GB2312"/>
          <w:sz w:val="32"/>
          <w:szCs w:val="32"/>
        </w:rPr>
        <w:t>门诊</w:t>
      </w:r>
      <w:r>
        <w:rPr>
          <w:rFonts w:hint="eastAsia" w:ascii="仿宋_GB2312" w:hAnsi="仿宋_GB2312" w:eastAsia="仿宋_GB2312" w:cs="仿宋_GB2312"/>
          <w:sz w:val="32"/>
          <w:szCs w:val="32"/>
          <w:lang w:eastAsia="zh-CN"/>
        </w:rPr>
        <w:t>共济保障相关政策适时</w:t>
      </w:r>
      <w:r>
        <w:rPr>
          <w:rFonts w:hint="eastAsia" w:ascii="仿宋_GB2312" w:hAnsi="仿宋_GB2312" w:eastAsia="仿宋_GB2312" w:cs="仿宋_GB2312"/>
          <w:sz w:val="32"/>
          <w:szCs w:val="32"/>
        </w:rPr>
        <w:t>动态调整。</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spacing w:line="580" w:lineRule="atLeast"/>
        <w:ind w:firstLine="640" w:firstLineChars="200"/>
        <w:jc w:val="center"/>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第四章 费用结算</w:t>
      </w:r>
    </w:p>
    <w:p>
      <w:pPr>
        <w:widowControl/>
        <w:wordWrap/>
        <w:adjustRightInd/>
        <w:snapToGrid/>
        <w:spacing w:before="0" w:after="0" w:line="560" w:lineRule="exact"/>
        <w:ind w:left="0" w:leftChars="0" w:right="0" w:firstLine="640" w:firstLineChars="200"/>
        <w:jc w:val="center"/>
        <w:textAlignment w:val="auto"/>
        <w:outlineLvl w:val="9"/>
        <w:rPr>
          <w:rFonts w:hint="eastAsia" w:ascii="黑体" w:hAnsi="黑体" w:eastAsia="黑体" w:cs="黑体"/>
          <w:b w:val="0"/>
          <w:bCs w:val="0"/>
          <w:color w:val="333333"/>
          <w:kern w:val="0"/>
          <w:sz w:val="32"/>
          <w:szCs w:val="32"/>
          <w:lang w:val="en-US" w:eastAsia="zh-CN"/>
        </w:rPr>
      </w:pPr>
    </w:p>
    <w:p>
      <w:pPr>
        <w:widowControl w:val="0"/>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参保</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所发生的普通门诊医疗费用，应个人支付的，</w:t>
      </w:r>
      <w:r>
        <w:rPr>
          <w:rFonts w:hint="eastAsia" w:ascii="仿宋_GB2312" w:hAnsi="仿宋_GB2312" w:eastAsia="仿宋_GB2312" w:cs="仿宋_GB2312"/>
          <w:color w:val="auto"/>
          <w:sz w:val="32"/>
          <w:szCs w:val="32"/>
        </w:rPr>
        <w:t>参保</w:t>
      </w:r>
      <w:r>
        <w:rPr>
          <w:rFonts w:hint="eastAsia" w:ascii="仿宋_GB2312" w:hAnsi="仿宋_GB2312" w:eastAsia="仿宋_GB2312" w:cs="仿宋_GB2312"/>
          <w:color w:val="auto"/>
          <w:sz w:val="32"/>
          <w:szCs w:val="32"/>
          <w:lang w:eastAsia="zh-CN"/>
        </w:rPr>
        <w:t>人员可使用其本人个人账户资金</w:t>
      </w:r>
      <w:r>
        <w:rPr>
          <w:rFonts w:hint="eastAsia" w:ascii="仿宋_GB2312" w:hAnsi="仿宋_GB2312" w:eastAsia="仿宋_GB2312" w:cs="仿宋_GB2312"/>
          <w:color w:val="auto"/>
          <w:sz w:val="32"/>
          <w:szCs w:val="32"/>
        </w:rPr>
        <w:t>与定点</w:t>
      </w:r>
      <w:r>
        <w:rPr>
          <w:rFonts w:hint="eastAsia" w:ascii="仿宋_GB2312" w:hAnsi="仿宋_GB2312" w:eastAsia="仿宋_GB2312" w:cs="仿宋_GB2312"/>
          <w:sz w:val="32"/>
          <w:szCs w:val="32"/>
        </w:rPr>
        <w:t>医</w:t>
      </w:r>
      <w:r>
        <w:rPr>
          <w:rFonts w:hint="eastAsia" w:ascii="仿宋_GB2312" w:hAnsi="仿宋_GB2312" w:eastAsia="仿宋_GB2312" w:cs="仿宋_GB2312"/>
          <w:sz w:val="32"/>
          <w:szCs w:val="32"/>
          <w:lang w:val="en-US" w:eastAsia="zh-CN"/>
        </w:rPr>
        <w:t>药</w:t>
      </w:r>
      <w:r>
        <w:rPr>
          <w:rFonts w:hint="eastAsia" w:ascii="仿宋_GB2312" w:hAnsi="仿宋_GB2312" w:eastAsia="仿宋_GB2312" w:cs="仿宋_GB2312"/>
          <w:sz w:val="32"/>
          <w:szCs w:val="32"/>
        </w:rPr>
        <w:t>机构直接结算；应统筹基金支付的，由医疗保险经办</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与定点医</w:t>
      </w:r>
      <w:r>
        <w:rPr>
          <w:rFonts w:hint="eastAsia" w:ascii="仿宋_GB2312" w:hAnsi="仿宋_GB2312" w:eastAsia="仿宋_GB2312" w:cs="仿宋_GB2312"/>
          <w:sz w:val="32"/>
          <w:szCs w:val="32"/>
          <w:lang w:eastAsia="zh-CN"/>
        </w:rPr>
        <w:t>药</w:t>
      </w:r>
      <w:r>
        <w:rPr>
          <w:rFonts w:hint="eastAsia" w:ascii="仿宋_GB2312" w:hAnsi="仿宋_GB2312" w:eastAsia="仿宋_GB2312" w:cs="仿宋_GB2312"/>
          <w:sz w:val="32"/>
          <w:szCs w:val="32"/>
        </w:rPr>
        <w:t>机构进行结算。</w:t>
      </w:r>
    </w:p>
    <w:p>
      <w:pPr>
        <w:widowControl w:val="0"/>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异地居住并办理异地就医备案的参保</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，需在</w:t>
      </w:r>
      <w:r>
        <w:rPr>
          <w:rFonts w:hint="eastAsia" w:ascii="仿宋_GB2312" w:hAnsi="仿宋_GB2312" w:eastAsia="仿宋_GB2312" w:cs="仿宋_GB2312"/>
          <w:sz w:val="32"/>
          <w:szCs w:val="32"/>
          <w:lang w:eastAsia="zh-CN"/>
        </w:rPr>
        <w:t>就医</w:t>
      </w:r>
      <w:r>
        <w:rPr>
          <w:rFonts w:hint="eastAsia" w:ascii="仿宋_GB2312" w:hAnsi="仿宋_GB2312" w:eastAsia="仿宋_GB2312" w:cs="仿宋_GB2312"/>
          <w:sz w:val="32"/>
          <w:szCs w:val="32"/>
        </w:rPr>
        <w:t>地的基本医疗保险普通门诊</w:t>
      </w:r>
      <w:r>
        <w:rPr>
          <w:rFonts w:hint="eastAsia" w:ascii="仿宋_GB2312" w:hAnsi="仿宋_GB2312" w:eastAsia="仿宋_GB2312" w:cs="仿宋_GB2312"/>
          <w:color w:val="auto"/>
          <w:sz w:val="32"/>
          <w:szCs w:val="32"/>
          <w:lang w:eastAsia="zh-CN"/>
        </w:rPr>
        <w:t>异地</w:t>
      </w:r>
      <w:r>
        <w:rPr>
          <w:rFonts w:hint="eastAsia" w:ascii="仿宋_GB2312" w:hAnsi="仿宋_GB2312" w:eastAsia="仿宋_GB2312" w:cs="仿宋_GB2312"/>
          <w:sz w:val="32"/>
          <w:szCs w:val="32"/>
        </w:rPr>
        <w:t>定点医</w:t>
      </w:r>
      <w:r>
        <w:rPr>
          <w:rFonts w:hint="eastAsia" w:ascii="仿宋_GB2312" w:hAnsi="仿宋_GB2312" w:eastAsia="仿宋_GB2312" w:cs="仿宋_GB2312"/>
          <w:sz w:val="32"/>
          <w:szCs w:val="32"/>
          <w:lang w:eastAsia="zh-CN"/>
        </w:rPr>
        <w:t>药</w:t>
      </w:r>
      <w:r>
        <w:rPr>
          <w:rFonts w:hint="eastAsia" w:ascii="仿宋_GB2312" w:hAnsi="仿宋_GB2312" w:eastAsia="仿宋_GB2312" w:cs="仿宋_GB2312"/>
          <w:sz w:val="32"/>
          <w:szCs w:val="32"/>
        </w:rPr>
        <w:t>机构就医，所发生的普通门诊医疗费用，</w:t>
      </w:r>
      <w:r>
        <w:rPr>
          <w:rFonts w:hint="eastAsia" w:ascii="仿宋_GB2312" w:hAnsi="仿宋_GB2312" w:eastAsia="仿宋_GB2312" w:cs="仿宋_GB2312"/>
          <w:sz w:val="32"/>
          <w:szCs w:val="32"/>
          <w:lang w:eastAsia="zh-CN"/>
        </w:rPr>
        <w:t>就医地已实现普通门诊异地联网直接结算的，按规定实行即时结算；未实现异地联网直接结算的，</w:t>
      </w:r>
      <w:r>
        <w:rPr>
          <w:rFonts w:hint="eastAsia" w:ascii="仿宋_GB2312" w:hAnsi="仿宋_GB2312" w:eastAsia="仿宋_GB2312" w:cs="仿宋_GB2312"/>
          <w:sz w:val="32"/>
          <w:szCs w:val="32"/>
        </w:rPr>
        <w:t>由本人先行垫付，原则上</w:t>
      </w:r>
      <w:r>
        <w:rPr>
          <w:rFonts w:hint="eastAsia" w:ascii="仿宋_GB2312" w:hAnsi="仿宋_GB2312" w:eastAsia="仿宋_GB2312" w:cs="仿宋_GB2312"/>
          <w:color w:val="auto"/>
          <w:sz w:val="32"/>
          <w:szCs w:val="32"/>
          <w:highlight w:val="none"/>
          <w:lang w:val="en-US" w:eastAsia="zh-CN"/>
        </w:rPr>
        <w:t>自费用发生之日起</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rPr>
        <w:t>年内</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eastAsia="zh-CN"/>
        </w:rPr>
        <w:t>医疗票据</w:t>
      </w:r>
      <w:r>
        <w:rPr>
          <w:rFonts w:hint="eastAsia" w:ascii="仿宋_GB2312" w:hAnsi="仿宋_GB2312" w:eastAsia="仿宋_GB2312" w:cs="仿宋_GB2312"/>
          <w:sz w:val="32"/>
          <w:szCs w:val="32"/>
        </w:rPr>
        <w:t>和医疗费用明细清单等相关材料到参保所在地医疗保险经办</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办理报销手续。</w:t>
      </w: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使用乙类药品无需先行自付，使用国家谈判药品需先行自付10%。</w:t>
      </w:r>
    </w:p>
    <w:p>
      <w:pPr>
        <w:widowControl w:val="0"/>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结合门诊就医和医疗费用支出特点，对不同的疾病、不同的服务特点实行不同的付费方式</w:t>
      </w:r>
      <w:r>
        <w:rPr>
          <w:rFonts w:hint="eastAsia" w:ascii="仿宋_GB2312" w:hAnsi="仿宋_GB2312" w:eastAsia="仿宋_GB2312" w:cs="仿宋_GB2312"/>
          <w:sz w:val="32"/>
          <w:szCs w:val="32"/>
          <w:lang w:eastAsia="zh-CN"/>
        </w:rPr>
        <w:t>。具体办法由省医疗保障局另行制定。</w:t>
      </w:r>
    </w:p>
    <w:p>
      <w:pPr>
        <w:widowControl w:val="0"/>
        <w:wordWrap/>
        <w:adjustRightInd/>
        <w:snapToGrid/>
        <w:spacing w:line="240" w:lineRule="auto"/>
        <w:ind w:right="0"/>
        <w:jc w:val="both"/>
        <w:textAlignment w:val="auto"/>
        <w:outlineLvl w:val="9"/>
        <w:rPr>
          <w:rFonts w:hint="eastAsia" w:ascii="仿宋_GB2312" w:hAnsi="仿宋_GB2312" w:eastAsia="仿宋_GB2312" w:cs="仿宋_GB2312"/>
          <w:sz w:val="32"/>
          <w:szCs w:val="32"/>
        </w:rPr>
      </w:pPr>
    </w:p>
    <w:p>
      <w:pPr>
        <w:widowControl/>
        <w:spacing w:line="580" w:lineRule="atLeast"/>
        <w:ind w:firstLine="640" w:firstLineChars="200"/>
        <w:jc w:val="center"/>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第五章 医疗服务管理</w:t>
      </w:r>
    </w:p>
    <w:p>
      <w:pPr>
        <w:widowControl/>
        <w:spacing w:line="580" w:lineRule="atLeast"/>
        <w:ind w:firstLine="640" w:firstLineChars="200"/>
        <w:jc w:val="center"/>
        <w:rPr>
          <w:rFonts w:hint="eastAsia" w:ascii="黑体" w:hAnsi="黑体" w:eastAsia="黑体" w:cs="黑体"/>
          <w:b w:val="0"/>
          <w:bCs w:val="0"/>
          <w:color w:val="333333"/>
          <w:kern w:val="0"/>
          <w:sz w:val="32"/>
          <w:szCs w:val="32"/>
        </w:rPr>
      </w:pP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定点医</w:t>
      </w:r>
      <w:r>
        <w:rPr>
          <w:rFonts w:hint="eastAsia" w:ascii="仿宋_GB2312" w:hAnsi="仿宋_GB2312" w:eastAsia="仿宋_GB2312" w:cs="仿宋_GB2312"/>
          <w:sz w:val="32"/>
          <w:szCs w:val="32"/>
          <w:highlight w:val="none"/>
          <w:lang w:eastAsia="zh-CN"/>
        </w:rPr>
        <w:t>药</w:t>
      </w:r>
      <w:r>
        <w:rPr>
          <w:rFonts w:hint="eastAsia" w:ascii="仿宋_GB2312" w:hAnsi="仿宋_GB2312" w:eastAsia="仿宋_GB2312" w:cs="仿宋_GB2312"/>
          <w:sz w:val="32"/>
          <w:szCs w:val="32"/>
          <w:highlight w:val="none"/>
        </w:rPr>
        <w:t>机构应严格执行普通门诊</w:t>
      </w:r>
      <w:r>
        <w:rPr>
          <w:rFonts w:hint="eastAsia" w:ascii="仿宋_GB2312" w:hAnsi="仿宋_GB2312" w:eastAsia="仿宋_GB2312" w:cs="仿宋_GB2312"/>
          <w:sz w:val="32"/>
          <w:szCs w:val="32"/>
          <w:highlight w:val="none"/>
          <w:lang w:eastAsia="zh-CN"/>
        </w:rPr>
        <w:t>有关规定，认真履行</w:t>
      </w:r>
      <w:r>
        <w:rPr>
          <w:rFonts w:hint="eastAsia" w:ascii="仿宋_GB2312" w:hAnsi="仿宋_GB2312" w:eastAsia="仿宋_GB2312" w:cs="仿宋_GB2312"/>
          <w:sz w:val="32"/>
          <w:szCs w:val="32"/>
          <w:highlight w:val="none"/>
        </w:rPr>
        <w:t>服务协议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eastAsia="zh-CN"/>
        </w:rPr>
        <w:t>严禁</w:t>
      </w:r>
      <w:r>
        <w:rPr>
          <w:rFonts w:hint="eastAsia" w:ascii="仿宋_GB2312" w:hAnsi="仿宋_GB2312" w:eastAsia="仿宋_GB2312" w:cs="仿宋_GB2312"/>
          <w:color w:val="auto"/>
          <w:sz w:val="32"/>
          <w:szCs w:val="32"/>
          <w:highlight w:val="none"/>
        </w:rPr>
        <w:t>串通病人伪造病历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串换药品</w:t>
      </w:r>
      <w:r>
        <w:rPr>
          <w:rFonts w:hint="eastAsia" w:ascii="仿宋_GB2312" w:hAnsi="仿宋_GB2312" w:eastAsia="仿宋_GB2312" w:cs="仿宋_GB2312"/>
          <w:color w:val="auto"/>
          <w:sz w:val="32"/>
          <w:szCs w:val="32"/>
          <w:highlight w:val="none"/>
          <w:lang w:val="en-US" w:eastAsia="zh-CN"/>
        </w:rPr>
        <w:t>等违规行为，</w:t>
      </w:r>
      <w:r>
        <w:rPr>
          <w:rFonts w:hint="eastAsia" w:ascii="仿宋_GB2312" w:hAnsi="仿宋_GB2312" w:eastAsia="仿宋_GB2312" w:cs="仿宋_GB2312"/>
          <w:color w:val="auto"/>
          <w:sz w:val="32"/>
          <w:szCs w:val="32"/>
          <w:highlight w:val="none"/>
        </w:rPr>
        <w:t>非法套取医保基金。</w:t>
      </w: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参保人员普通门诊用药，优先选用目录甲类药品，优先选用国家基本药物，优先选用通过一致性评价的品种，优先选用集中招标采购中选药品。不得以费用控制、药占比、医疗机构用药品种规格数量、药事委员会评审等为由，影响药品的合理使用和供应保障。</w:t>
      </w:r>
    </w:p>
    <w:p>
      <w:pPr>
        <w:widowControl w:val="0"/>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highlight w:val="none"/>
        </w:rPr>
        <w:t>定点医</w:t>
      </w:r>
      <w:r>
        <w:rPr>
          <w:rFonts w:hint="eastAsia" w:ascii="仿宋_GB2312" w:hAnsi="仿宋_GB2312" w:eastAsia="仿宋_GB2312" w:cs="仿宋_GB2312"/>
          <w:sz w:val="32"/>
          <w:szCs w:val="32"/>
          <w:highlight w:val="none"/>
          <w:lang w:eastAsia="zh-CN"/>
        </w:rPr>
        <w:t>药</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rPr>
        <w:t>对病情稳定、依从性较好、需要长期服药的高血压、糖尿病</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实行“长处方”管理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依照药品使用说明书用量，可开处1-3个月药量（“长处方”不得跨年度开处）。</w:t>
      </w:r>
    </w:p>
    <w:p>
      <w:pPr>
        <w:widowControl w:val="0"/>
        <w:numPr>
          <w:ilvl w:val="0"/>
          <w:numId w:val="0"/>
        </w:numPr>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外配处方</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在定点零售药店结算和配药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符合条件的“互联网+”医疗服务纳入保障范围。</w:t>
      </w: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参保</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在定点医疗机构门诊就医时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凭</w:t>
      </w:r>
      <w:r>
        <w:rPr>
          <w:rFonts w:hint="eastAsia" w:ascii="仿宋_GB2312" w:hAnsi="仿宋_GB2312" w:eastAsia="仿宋_GB2312" w:cs="仿宋_GB2312"/>
          <w:sz w:val="32"/>
          <w:szCs w:val="32"/>
          <w:lang w:eastAsia="zh-CN"/>
        </w:rPr>
        <w:t>居民身份证、</w:t>
      </w:r>
      <w:r>
        <w:rPr>
          <w:rFonts w:hint="eastAsia" w:ascii="仿宋_GB2312" w:hAnsi="仿宋_GB2312" w:eastAsia="仿宋_GB2312" w:cs="仿宋_GB2312"/>
          <w:sz w:val="32"/>
          <w:szCs w:val="32"/>
        </w:rPr>
        <w:t>医保电子凭证</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社会保障卡就医，不得冒名顶替、弄虚作假，不得私自涂改就医单据，不得</w:t>
      </w:r>
      <w:r>
        <w:rPr>
          <w:rFonts w:hint="eastAsia" w:ascii="仿宋_GB2312" w:hAnsi="仿宋_GB2312" w:eastAsia="仿宋_GB2312" w:cs="仿宋_GB2312"/>
          <w:sz w:val="32"/>
          <w:szCs w:val="32"/>
          <w:lang w:val="en-US" w:eastAsia="zh-CN"/>
        </w:rPr>
        <w:t>干预</w:t>
      </w:r>
      <w:r>
        <w:rPr>
          <w:rFonts w:hint="eastAsia" w:ascii="仿宋_GB2312" w:hAnsi="仿宋_GB2312" w:eastAsia="仿宋_GB2312" w:cs="仿宋_GB2312"/>
          <w:sz w:val="32"/>
          <w:szCs w:val="32"/>
        </w:rPr>
        <w:t>医务人员的诊疗行为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自觉执行医保相关规定。</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p>
    <w:p>
      <w:pPr>
        <w:widowControl/>
        <w:numPr>
          <w:ilvl w:val="0"/>
          <w:numId w:val="2"/>
        </w:numPr>
        <w:spacing w:line="580" w:lineRule="atLeast"/>
        <w:jc w:val="center"/>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rPr>
        <w:t>基金</w:t>
      </w:r>
      <w:r>
        <w:rPr>
          <w:rFonts w:hint="eastAsia" w:ascii="黑体" w:hAnsi="黑体" w:eastAsia="黑体" w:cs="黑体"/>
          <w:b w:val="0"/>
          <w:bCs w:val="0"/>
          <w:color w:val="333333"/>
          <w:kern w:val="0"/>
          <w:sz w:val="32"/>
          <w:szCs w:val="32"/>
          <w:lang w:val="en-US" w:eastAsia="zh-CN"/>
        </w:rPr>
        <w:t>监督</w:t>
      </w:r>
      <w:r>
        <w:rPr>
          <w:rFonts w:hint="eastAsia" w:ascii="黑体" w:hAnsi="黑体" w:eastAsia="黑体" w:cs="黑体"/>
          <w:b w:val="0"/>
          <w:bCs w:val="0"/>
          <w:color w:val="333333"/>
          <w:kern w:val="0"/>
          <w:sz w:val="32"/>
          <w:szCs w:val="32"/>
        </w:rPr>
        <w:t>管</w:t>
      </w:r>
      <w:r>
        <w:rPr>
          <w:rFonts w:hint="eastAsia" w:ascii="黑体" w:hAnsi="黑体" w:eastAsia="黑体" w:cs="黑体"/>
          <w:b w:val="0"/>
          <w:bCs w:val="0"/>
          <w:color w:val="333333"/>
          <w:kern w:val="0"/>
          <w:sz w:val="32"/>
          <w:szCs w:val="32"/>
          <w:lang w:val="en-US" w:eastAsia="zh-CN"/>
        </w:rPr>
        <w:t>理</w:t>
      </w:r>
    </w:p>
    <w:p>
      <w:pPr>
        <w:widowControl/>
        <w:numPr>
          <w:ilvl w:val="0"/>
          <w:numId w:val="0"/>
        </w:numPr>
        <w:spacing w:line="580" w:lineRule="atLeast"/>
        <w:jc w:val="both"/>
        <w:rPr>
          <w:rFonts w:hint="eastAsia" w:ascii="黑体" w:hAnsi="黑体" w:eastAsia="黑体" w:cs="黑体"/>
          <w:b w:val="0"/>
          <w:bCs w:val="0"/>
          <w:color w:val="333333"/>
          <w:kern w:val="0"/>
          <w:sz w:val="32"/>
          <w:szCs w:val="32"/>
          <w:lang w:val="en-US" w:eastAsia="zh-CN"/>
        </w:rPr>
      </w:pPr>
    </w:p>
    <w:p>
      <w:pPr>
        <w:pStyle w:val="2"/>
        <w:widowControl/>
        <w:pBdr>
          <w:top w:val="none" w:color="auto" w:sz="0" w:space="0"/>
          <w:left w:val="none" w:color="auto" w:sz="0" w:space="0"/>
          <w:bottom w:val="none" w:color="auto" w:sz="0" w:space="0"/>
          <w:right w:val="none" w:color="auto" w:sz="0" w:space="0"/>
        </w:pBdr>
        <w:spacing w:before="96" w:beforeAutospacing="0" w:after="0" w:afterAutospacing="0" w:line="324" w:lineRule="atLeast"/>
        <w:ind w:left="0" w:right="0" w:firstLine="642"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color w:val="auto"/>
          <w:sz w:val="32"/>
          <w:szCs w:val="32"/>
        </w:rPr>
        <w:t>各级医疗保障</w:t>
      </w:r>
      <w:r>
        <w:rPr>
          <w:rFonts w:hint="eastAsia" w:ascii="仿宋_GB2312" w:hAnsi="仿宋_GB2312" w:eastAsia="仿宋_GB2312" w:cs="仿宋_GB2312"/>
          <w:b w:val="0"/>
          <w:bCs/>
          <w:color w:val="auto"/>
          <w:sz w:val="32"/>
          <w:szCs w:val="32"/>
          <w:lang w:eastAsia="zh-CN"/>
        </w:rPr>
        <w:t>行政部门</w:t>
      </w:r>
      <w:r>
        <w:rPr>
          <w:rFonts w:hint="eastAsia" w:ascii="仿宋_GB2312" w:hAnsi="仿宋_GB2312" w:eastAsia="仿宋_GB2312" w:cs="仿宋_GB2312"/>
          <w:b w:val="0"/>
          <w:bCs/>
          <w:sz w:val="32"/>
          <w:szCs w:val="32"/>
          <w:lang w:eastAsia="zh-CN"/>
        </w:rPr>
        <w:t>依据法律法规对城镇从业人员普通门诊进行监督管理。</w:t>
      </w:r>
      <w:r>
        <w:rPr>
          <w:rFonts w:hint="eastAsia" w:ascii="仿宋_GB2312" w:hAnsi="仿宋_GB2312" w:eastAsia="仿宋_GB2312" w:cs="仿宋_GB2312"/>
          <w:b w:val="0"/>
          <w:bCs/>
          <w:sz w:val="32"/>
          <w:szCs w:val="32"/>
        </w:rPr>
        <w:t>建立第三方监督机制。</w:t>
      </w:r>
      <w:r>
        <w:rPr>
          <w:rFonts w:hint="eastAsia" w:ascii="仿宋_GB2312" w:hAnsi="仿宋_GB2312" w:eastAsia="仿宋_GB2312" w:cs="仿宋_GB2312"/>
          <w:b w:val="0"/>
          <w:kern w:val="2"/>
          <w:sz w:val="32"/>
          <w:szCs w:val="32"/>
          <w:lang w:val="en-US" w:eastAsia="zh-CN" w:bidi="ar-SA"/>
        </w:rPr>
        <w:t>将定点医药机构、医保医师、相关工作人员，以及参保人员使用个人账户情况纳入医保信用体系管理。</w:t>
      </w:r>
    </w:p>
    <w:p>
      <w:pPr>
        <w:spacing w:line="560" w:lineRule="exact"/>
        <w:ind w:firstLine="642" w:firstLineChars="2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各级医疗保险</w:t>
      </w:r>
      <w:r>
        <w:rPr>
          <w:rFonts w:hint="eastAsia" w:ascii="仿宋_GB2312" w:hAnsi="仿宋_GB2312" w:eastAsia="仿宋_GB2312" w:cs="仿宋_GB2312"/>
          <w:color w:val="auto"/>
          <w:sz w:val="32"/>
          <w:szCs w:val="32"/>
          <w:lang w:eastAsia="zh-CN"/>
        </w:rPr>
        <w:t>经办部门</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据海南省</w:t>
      </w:r>
      <w:r>
        <w:rPr>
          <w:rFonts w:hint="eastAsia" w:ascii="仿宋_GB2312" w:hAnsi="仿宋_GB2312" w:eastAsia="仿宋_GB2312" w:cs="仿宋_GB2312"/>
          <w:sz w:val="32"/>
          <w:szCs w:val="32"/>
          <w:lang w:eastAsia="zh-CN"/>
        </w:rPr>
        <w:t>基本医疗保险定点医药机构服务协议对定点医药机构进行监督检查和考核，并将</w:t>
      </w:r>
      <w:r>
        <w:rPr>
          <w:rFonts w:hint="eastAsia" w:ascii="仿宋_GB2312" w:hAnsi="仿宋_GB2312" w:eastAsia="仿宋_GB2312" w:cs="仿宋_GB2312"/>
          <w:b w:val="0"/>
          <w:color w:val="auto"/>
          <w:kern w:val="2"/>
          <w:sz w:val="32"/>
          <w:szCs w:val="32"/>
          <w:lang w:val="en-US" w:eastAsia="zh-CN" w:bidi="ar-SA"/>
        </w:rPr>
        <w:t>考核结果与年度清算挂勾。</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p>
    <w:p>
      <w:pPr>
        <w:widowControl w:val="0"/>
        <w:numPr>
          <w:ilvl w:val="0"/>
          <w:numId w:val="0"/>
        </w:numPr>
        <w:wordWrap/>
        <w:adjustRightInd/>
        <w:snapToGrid/>
        <w:spacing w:before="0" w:after="0" w:line="560" w:lineRule="exact"/>
        <w:ind w:leftChars="200" w:right="0"/>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第七章</w:t>
      </w:r>
      <w:r>
        <w:rPr>
          <w:rFonts w:hint="eastAsia" w:ascii="黑体" w:hAnsi="黑体" w:eastAsia="黑体" w:cs="黑体"/>
          <w:b/>
          <w:bCs/>
          <w:color w:val="333333"/>
          <w:kern w:val="0"/>
          <w:sz w:val="32"/>
          <w:szCs w:val="32"/>
        </w:rPr>
        <w:t xml:space="preserve"> </w:t>
      </w:r>
      <w:r>
        <w:rPr>
          <w:rFonts w:hint="eastAsia" w:ascii="黑体" w:hAnsi="黑体" w:eastAsia="黑体" w:cs="黑体"/>
          <w:b w:val="0"/>
          <w:bCs w:val="0"/>
          <w:color w:val="333333"/>
          <w:kern w:val="0"/>
          <w:sz w:val="32"/>
          <w:szCs w:val="32"/>
        </w:rPr>
        <w:t>法律责任</w:t>
      </w:r>
    </w:p>
    <w:p>
      <w:pPr>
        <w:widowControl/>
        <w:wordWrap/>
        <w:adjustRightInd/>
        <w:snapToGrid/>
        <w:spacing w:before="0" w:after="0" w:line="560" w:lineRule="exact"/>
        <w:ind w:right="0"/>
        <w:textAlignment w:val="auto"/>
        <w:outlineLvl w:val="9"/>
        <w:rPr>
          <w:rFonts w:ascii="仿宋_GB2312" w:hAnsi="仿宋_GB2312" w:eastAsia="仿宋_GB2312" w:cs="仿宋_GB2312"/>
          <w:b/>
          <w:bCs/>
          <w:color w:val="333333"/>
          <w:kern w:val="0"/>
          <w:sz w:val="32"/>
          <w:szCs w:val="32"/>
        </w:rPr>
      </w:pPr>
    </w:p>
    <w:p>
      <w:pPr>
        <w:widowControl w:val="0"/>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医疗保障行政部门、医疗保险经办机构、定点医疗机构及其工作人员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参保</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rPr>
        <w:t>违反本办法规定的，依据</w:t>
      </w:r>
      <w:r>
        <w:rPr>
          <w:rFonts w:hint="eastAsia" w:ascii="仿宋_GB2312" w:hAnsi="仿宋_GB2312" w:eastAsia="仿宋_GB2312" w:cs="仿宋_GB2312"/>
          <w:sz w:val="32"/>
          <w:szCs w:val="32"/>
          <w:lang w:eastAsia="zh-CN"/>
        </w:rPr>
        <w:t>《医疗保障基金使用监督管理条例》、《</w:t>
      </w:r>
      <w:r>
        <w:rPr>
          <w:rFonts w:hint="eastAsia" w:ascii="仿宋_GB2312" w:hAnsi="仿宋_GB2312" w:eastAsia="仿宋_GB2312" w:cs="仿宋_GB2312"/>
          <w:sz w:val="32"/>
          <w:szCs w:val="32"/>
        </w:rPr>
        <w:t>医疗机构医疗保障定点管理暂行办法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零售药店医疗保障定点管理暂行办法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等相关规定予以处理。</w:t>
      </w:r>
    </w:p>
    <w:p>
      <w:pPr>
        <w:widowControl w:val="0"/>
        <w:numPr>
          <w:ilvl w:val="0"/>
          <w:numId w:val="3"/>
        </w:numPr>
        <w:wordWrap/>
        <w:adjustRightInd/>
        <w:snapToGrid/>
        <w:spacing w:before="0" w:after="0" w:line="560" w:lineRule="exact"/>
        <w:ind w:left="0" w:leftChars="0" w:right="0" w:firstLine="640" w:firstLineChars="200"/>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附</w:t>
      </w:r>
      <w:r>
        <w:rPr>
          <w:rFonts w:hint="eastAsia" w:ascii="黑体" w:hAnsi="黑体" w:eastAsia="黑体" w:cs="黑体"/>
          <w:b w:val="0"/>
          <w:bCs w:val="0"/>
          <w:color w:val="333333"/>
          <w:kern w:val="0"/>
          <w:sz w:val="32"/>
          <w:szCs w:val="32"/>
          <w:lang w:val="en-US" w:eastAsia="zh-CN"/>
        </w:rPr>
        <w:t xml:space="preserve"> </w:t>
      </w:r>
      <w:r>
        <w:rPr>
          <w:rFonts w:hint="eastAsia" w:ascii="黑体" w:hAnsi="黑体" w:eastAsia="黑体" w:cs="黑体"/>
          <w:b w:val="0"/>
          <w:bCs w:val="0"/>
          <w:color w:val="333333"/>
          <w:kern w:val="0"/>
          <w:sz w:val="32"/>
          <w:szCs w:val="32"/>
        </w:rPr>
        <w:t>则</w:t>
      </w:r>
    </w:p>
    <w:p>
      <w:pPr>
        <w:widowControl w:val="0"/>
        <w:numPr>
          <w:ilvl w:val="0"/>
          <w:numId w:val="0"/>
        </w:numPr>
        <w:wordWrap/>
        <w:adjustRightInd/>
        <w:snapToGrid/>
        <w:spacing w:before="0" w:after="0" w:line="560" w:lineRule="exact"/>
        <w:ind w:leftChars="200" w:right="0"/>
        <w:jc w:val="both"/>
        <w:textAlignment w:val="auto"/>
        <w:outlineLvl w:val="9"/>
        <w:rPr>
          <w:rFonts w:hint="eastAsia" w:ascii="黑体" w:hAnsi="黑体" w:eastAsia="黑体" w:cs="黑体"/>
          <w:b w:val="0"/>
          <w:bCs w:val="0"/>
          <w:color w:val="333333"/>
          <w:kern w:val="0"/>
          <w:sz w:val="32"/>
          <w:szCs w:val="32"/>
        </w:rPr>
      </w:pPr>
    </w:p>
    <w:p>
      <w:pPr>
        <w:widowControl w:val="0"/>
        <w:wordWrap/>
        <w:adjustRightInd/>
        <w:snapToGrid/>
        <w:spacing w:line="240" w:lineRule="auto"/>
        <w:ind w:left="0" w:leftChars="0" w:right="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本办法由海南省医疗保障局负责解释。</w:t>
      </w:r>
    </w:p>
    <w:p>
      <w:pPr>
        <w:widowControl w:val="0"/>
        <w:wordWrap/>
        <w:adjustRightInd/>
        <w:snapToGrid/>
        <w:spacing w:line="240" w:lineRule="auto"/>
        <w:ind w:left="0" w:leftChars="0" w:right="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年1月1日起施行。</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560" w:lineRule="exact"/>
        <w:ind w:right="0"/>
        <w:jc w:val="left"/>
        <w:textAlignment w:val="auto"/>
        <w:outlineLvl w:val="9"/>
        <w:rPr>
          <w:rFonts w:hint="eastAsia" w:ascii="方正仿宋_GBK" w:hAnsi="方正仿宋_GBK" w:eastAsia="方正仿宋_GBK" w:cs="方正仿宋_GBK"/>
          <w:sz w:val="32"/>
          <w:szCs w:val="32"/>
          <w:lang w:eastAsia="zh-CN"/>
        </w:rPr>
      </w:pPr>
    </w:p>
    <w:p>
      <w:pPr>
        <w:widowControl w:val="0"/>
        <w:wordWrap/>
        <w:adjustRightInd/>
        <w:snapToGrid/>
        <w:spacing w:before="0" w:after="0" w:line="560" w:lineRule="exact"/>
        <w:ind w:right="0"/>
        <w:jc w:val="left"/>
        <w:textAlignment w:val="auto"/>
        <w:outlineLvl w:val="9"/>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附件</w:t>
      </w:r>
    </w:p>
    <w:p>
      <w:pPr>
        <w:widowControl w:val="0"/>
        <w:wordWrap/>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lang w:eastAsia="zh-CN"/>
        </w:rPr>
        <w:t>六大癌症专项</w:t>
      </w:r>
      <w:r>
        <w:rPr>
          <w:rFonts w:hint="eastAsia" w:ascii="方正小标宋_GBK" w:hAnsi="方正小标宋_GBK" w:eastAsia="方正小标宋_GBK" w:cs="方正小标宋_GBK"/>
          <w:sz w:val="44"/>
          <w:szCs w:val="44"/>
          <w:lang w:val="en-US" w:eastAsia="zh-CN"/>
        </w:rPr>
        <w:t>筛查标准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176"/>
        <w:gridCol w:w="2574"/>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widowControl/>
              <w:spacing w:line="560" w:lineRule="exact"/>
              <w:jc w:val="center"/>
              <w:rPr>
                <w:rFonts w:hint="eastAsia" w:ascii="CESI黑体-GB2312" w:hAnsi="CESI黑体-GB2312" w:eastAsia="CESI黑体-GB2312" w:cs="CESI黑体-GB2312"/>
                <w:b w:val="0"/>
                <w:bCs w:val="0"/>
                <w:color w:val="333333"/>
                <w:kern w:val="0"/>
                <w:sz w:val="32"/>
                <w:szCs w:val="32"/>
                <w:vertAlign w:val="baseline"/>
                <w:lang w:eastAsia="zh-CN"/>
              </w:rPr>
            </w:pPr>
            <w:r>
              <w:rPr>
                <w:rFonts w:hint="eastAsia" w:ascii="CESI黑体-GB2312" w:hAnsi="CESI黑体-GB2312" w:eastAsia="CESI黑体-GB2312" w:cs="CESI黑体-GB2312"/>
                <w:b w:val="0"/>
                <w:bCs w:val="0"/>
                <w:color w:val="333333"/>
                <w:kern w:val="0"/>
                <w:sz w:val="32"/>
                <w:szCs w:val="32"/>
                <w:vertAlign w:val="baseline"/>
                <w:lang w:eastAsia="zh-CN"/>
              </w:rPr>
              <w:t>序号</w:t>
            </w:r>
          </w:p>
        </w:tc>
        <w:tc>
          <w:tcPr>
            <w:tcW w:w="1176" w:type="dxa"/>
            <w:vAlign w:val="center"/>
          </w:tcPr>
          <w:p>
            <w:pPr>
              <w:widowControl/>
              <w:spacing w:line="560" w:lineRule="exact"/>
              <w:jc w:val="center"/>
              <w:rPr>
                <w:rFonts w:hint="eastAsia" w:ascii="CESI黑体-GB2312" w:hAnsi="CESI黑体-GB2312" w:eastAsia="CESI黑体-GB2312" w:cs="CESI黑体-GB2312"/>
                <w:b w:val="0"/>
                <w:bCs w:val="0"/>
                <w:color w:val="333333"/>
                <w:kern w:val="0"/>
                <w:sz w:val="32"/>
                <w:szCs w:val="32"/>
                <w:vertAlign w:val="baseline"/>
                <w:lang w:eastAsia="zh-CN"/>
              </w:rPr>
            </w:pPr>
            <w:r>
              <w:rPr>
                <w:rFonts w:hint="eastAsia" w:ascii="CESI黑体-GB2312" w:hAnsi="CESI黑体-GB2312" w:eastAsia="CESI黑体-GB2312" w:cs="CESI黑体-GB2312"/>
                <w:b w:val="0"/>
                <w:bCs w:val="0"/>
                <w:color w:val="333333"/>
                <w:kern w:val="0"/>
                <w:sz w:val="32"/>
                <w:szCs w:val="32"/>
                <w:vertAlign w:val="baseline"/>
                <w:lang w:eastAsia="zh-CN"/>
              </w:rPr>
              <w:t>癌</w:t>
            </w:r>
            <w:r>
              <w:rPr>
                <w:rFonts w:hint="eastAsia" w:ascii="CESI黑体-GB2312" w:hAnsi="CESI黑体-GB2312" w:eastAsia="CESI黑体-GB2312" w:cs="CESI黑体-GB2312"/>
                <w:b w:val="0"/>
                <w:bCs w:val="0"/>
                <w:color w:val="333333"/>
                <w:kern w:val="0"/>
                <w:sz w:val="32"/>
                <w:szCs w:val="32"/>
                <w:vertAlign w:val="baseline"/>
                <w:lang w:val="en-US" w:eastAsia="zh-CN"/>
              </w:rPr>
              <w:t xml:space="preserve"> </w:t>
            </w:r>
            <w:r>
              <w:rPr>
                <w:rFonts w:hint="eastAsia" w:ascii="CESI黑体-GB2312" w:hAnsi="CESI黑体-GB2312" w:eastAsia="CESI黑体-GB2312" w:cs="CESI黑体-GB2312"/>
                <w:b w:val="0"/>
                <w:bCs w:val="0"/>
                <w:color w:val="333333"/>
                <w:kern w:val="0"/>
                <w:sz w:val="32"/>
                <w:szCs w:val="32"/>
                <w:vertAlign w:val="baseline"/>
                <w:lang w:eastAsia="zh-CN"/>
              </w:rPr>
              <w:t>症</w:t>
            </w:r>
          </w:p>
        </w:tc>
        <w:tc>
          <w:tcPr>
            <w:tcW w:w="2574" w:type="dxa"/>
            <w:vAlign w:val="center"/>
          </w:tcPr>
          <w:p>
            <w:pPr>
              <w:widowControl/>
              <w:spacing w:line="560" w:lineRule="exact"/>
              <w:jc w:val="center"/>
              <w:rPr>
                <w:rFonts w:hint="eastAsia" w:ascii="CESI黑体-GB2312" w:hAnsi="CESI黑体-GB2312" w:eastAsia="CESI黑体-GB2312" w:cs="CESI黑体-GB2312"/>
                <w:b w:val="0"/>
                <w:bCs w:val="0"/>
                <w:color w:val="333333"/>
                <w:kern w:val="0"/>
                <w:sz w:val="32"/>
                <w:szCs w:val="32"/>
                <w:vertAlign w:val="baseline"/>
                <w:lang w:eastAsia="zh-CN"/>
              </w:rPr>
            </w:pPr>
            <w:r>
              <w:rPr>
                <w:rFonts w:hint="eastAsia" w:ascii="CESI黑体-GB2312" w:hAnsi="CESI黑体-GB2312" w:eastAsia="CESI黑体-GB2312" w:cs="CESI黑体-GB2312"/>
                <w:b w:val="0"/>
                <w:bCs w:val="0"/>
                <w:color w:val="333333"/>
                <w:kern w:val="0"/>
                <w:sz w:val="32"/>
                <w:szCs w:val="32"/>
                <w:vertAlign w:val="baseline"/>
                <w:lang w:eastAsia="zh-CN"/>
              </w:rPr>
              <w:t>筛查对象</w:t>
            </w:r>
          </w:p>
        </w:tc>
        <w:tc>
          <w:tcPr>
            <w:tcW w:w="3740" w:type="dxa"/>
            <w:vAlign w:val="center"/>
          </w:tcPr>
          <w:p>
            <w:pPr>
              <w:widowControl/>
              <w:spacing w:line="560" w:lineRule="exact"/>
              <w:jc w:val="center"/>
              <w:rPr>
                <w:rFonts w:hint="eastAsia" w:ascii="CESI黑体-GB2312" w:hAnsi="CESI黑体-GB2312" w:eastAsia="CESI黑体-GB2312" w:cs="CESI黑体-GB2312"/>
                <w:b w:val="0"/>
                <w:bCs w:val="0"/>
                <w:color w:val="333333"/>
                <w:kern w:val="0"/>
                <w:sz w:val="32"/>
                <w:szCs w:val="32"/>
                <w:vertAlign w:val="baseline"/>
                <w:lang w:eastAsia="zh-CN"/>
              </w:rPr>
            </w:pPr>
            <w:r>
              <w:rPr>
                <w:rFonts w:hint="eastAsia" w:ascii="CESI黑体-GB2312" w:hAnsi="CESI黑体-GB2312" w:eastAsia="CESI黑体-GB2312" w:cs="CESI黑体-GB2312"/>
                <w:b w:val="0"/>
                <w:bCs w:val="0"/>
                <w:color w:val="333333"/>
                <w:kern w:val="0"/>
                <w:sz w:val="32"/>
                <w:szCs w:val="32"/>
                <w:vertAlign w:val="baseline"/>
                <w:lang w:eastAsia="zh-CN"/>
              </w:rPr>
              <w:t>筛查标准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vAlign w:val="center"/>
          </w:tcPr>
          <w:p>
            <w:pPr>
              <w:widowControl/>
              <w:spacing w:line="560" w:lineRule="exact"/>
              <w:jc w:val="center"/>
              <w:rPr>
                <w:rFonts w:hint="eastAsia" w:ascii="仿宋_GB2312" w:hAnsi="仿宋_GB2312" w:eastAsia="仿宋_GB2312" w:cs="仿宋_GB2312"/>
                <w:b/>
                <w:bCs/>
                <w:color w:val="333333"/>
                <w:kern w:val="0"/>
                <w:sz w:val="32"/>
                <w:szCs w:val="32"/>
                <w:vertAlign w:val="baseline"/>
              </w:rPr>
            </w:pPr>
            <w:r>
              <w:rPr>
                <w:rFonts w:hint="eastAsia" w:ascii="黑体" w:hAnsi="黑体" w:eastAsia="黑体" w:cs="黑体"/>
                <w:b w:val="0"/>
                <w:bCs w:val="0"/>
                <w:color w:val="333333"/>
                <w:kern w:val="0"/>
                <w:sz w:val="32"/>
                <w:szCs w:val="32"/>
                <w:lang w:val="en-US" w:eastAsia="zh-CN"/>
              </w:rPr>
              <w:t>1</w:t>
            </w:r>
          </w:p>
        </w:tc>
        <w:tc>
          <w:tcPr>
            <w:tcW w:w="1176" w:type="dxa"/>
            <w:vAlign w:val="center"/>
          </w:tcPr>
          <w:p>
            <w:pPr>
              <w:widowControl/>
              <w:spacing w:line="560" w:lineRule="exact"/>
              <w:jc w:val="center"/>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肺</w:t>
            </w:r>
            <w:r>
              <w:rPr>
                <w:rFonts w:hint="eastAsia" w:ascii="黑体" w:hAnsi="黑体" w:eastAsia="黑体" w:cs="黑体"/>
                <w:b w:val="0"/>
                <w:bCs w:val="0"/>
                <w:color w:val="333333"/>
                <w:kern w:val="0"/>
                <w:sz w:val="32"/>
                <w:szCs w:val="32"/>
                <w:lang w:val="en-US" w:eastAsia="zh-CN"/>
              </w:rPr>
              <w:t xml:space="preserve"> </w:t>
            </w:r>
            <w:r>
              <w:rPr>
                <w:rFonts w:hint="eastAsia" w:ascii="黑体" w:hAnsi="黑体" w:eastAsia="黑体" w:cs="黑体"/>
                <w:b w:val="0"/>
                <w:bCs w:val="0"/>
                <w:color w:val="333333"/>
                <w:kern w:val="0"/>
                <w:sz w:val="32"/>
                <w:szCs w:val="32"/>
              </w:rPr>
              <w:t>癌</w:t>
            </w:r>
          </w:p>
        </w:tc>
        <w:tc>
          <w:tcPr>
            <w:tcW w:w="2574" w:type="dxa"/>
          </w:tcPr>
          <w:p>
            <w:pPr>
              <w:widowControl/>
              <w:spacing w:line="560" w:lineRule="exact"/>
              <w:jc w:val="both"/>
              <w:rPr>
                <w:rFonts w:hint="eastAsia" w:ascii="仿宋_GB2312" w:hAnsi="仿宋_GB2312" w:eastAsia="仿宋_GB2312" w:cs="仿宋_GB2312"/>
                <w:b/>
                <w:bCs/>
                <w:color w:val="333333"/>
                <w:kern w:val="0"/>
                <w:sz w:val="32"/>
                <w:szCs w:val="32"/>
                <w:vertAlign w:val="baseline"/>
              </w:rPr>
            </w:pPr>
            <w:r>
              <w:rPr>
                <w:rFonts w:hint="eastAsia" w:ascii="仿宋_GB2312" w:hAnsi="仿宋_GB2312" w:eastAsia="仿宋_GB2312" w:cs="仿宋_GB2312"/>
                <w:sz w:val="32"/>
                <w:szCs w:val="32"/>
              </w:rPr>
              <w:t>未被确诊为肺癌的45周岁及以上参保</w:t>
            </w:r>
            <w:r>
              <w:rPr>
                <w:rFonts w:hint="eastAsia" w:ascii="仿宋_GB2312" w:hAnsi="仿宋_GB2312" w:eastAsia="仿宋_GB2312" w:cs="仿宋_GB2312"/>
                <w:sz w:val="32"/>
                <w:szCs w:val="32"/>
                <w:lang w:eastAsia="zh-CN"/>
              </w:rPr>
              <w:t>人员</w:t>
            </w:r>
          </w:p>
        </w:tc>
        <w:tc>
          <w:tcPr>
            <w:tcW w:w="3740" w:type="dxa"/>
            <w:vAlign w:val="center"/>
          </w:tcPr>
          <w:p>
            <w:pPr>
              <w:widowControl/>
              <w:spacing w:line="560" w:lineRule="exact"/>
              <w:jc w:val="center"/>
              <w:rPr>
                <w:rFonts w:hint="eastAsia" w:ascii="仿宋_GB2312" w:hAnsi="仿宋_GB2312" w:eastAsia="仿宋_GB2312" w:cs="仿宋_GB2312"/>
                <w:b/>
                <w:bCs/>
                <w:color w:val="333333"/>
                <w:kern w:val="0"/>
                <w:sz w:val="32"/>
                <w:szCs w:val="32"/>
                <w:vertAlign w:val="baseline"/>
              </w:rPr>
            </w:pPr>
            <w:r>
              <w:rPr>
                <w:rFonts w:hint="eastAsia" w:ascii="仿宋_GB2312" w:hAnsi="仿宋_GB2312" w:eastAsia="仿宋_GB2312" w:cs="仿宋_GB2312"/>
                <w:sz w:val="32"/>
                <w:szCs w:val="32"/>
              </w:rPr>
              <w:t>肺部低剂量32层或以上多层螺旋CT检查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widowControl/>
              <w:spacing w:line="560" w:lineRule="exact"/>
              <w:jc w:val="center"/>
              <w:rPr>
                <w:rFonts w:hint="eastAsia" w:ascii="仿宋_GB2312" w:hAnsi="仿宋_GB2312" w:eastAsia="仿宋_GB2312" w:cs="仿宋_GB2312"/>
                <w:b/>
                <w:bCs/>
                <w:color w:val="333333"/>
                <w:kern w:val="0"/>
                <w:sz w:val="32"/>
                <w:szCs w:val="32"/>
                <w:vertAlign w:val="baseline"/>
              </w:rPr>
            </w:pPr>
            <w:r>
              <w:rPr>
                <w:rFonts w:hint="eastAsia" w:ascii="黑体" w:hAnsi="黑体" w:eastAsia="黑体" w:cs="黑体"/>
                <w:b w:val="0"/>
                <w:bCs w:val="0"/>
                <w:color w:val="333333"/>
                <w:kern w:val="0"/>
                <w:sz w:val="32"/>
                <w:szCs w:val="32"/>
                <w:lang w:val="en-US" w:eastAsia="zh-CN"/>
              </w:rPr>
              <w:t>2</w:t>
            </w:r>
          </w:p>
        </w:tc>
        <w:tc>
          <w:tcPr>
            <w:tcW w:w="1176" w:type="dxa"/>
            <w:vAlign w:val="center"/>
          </w:tcPr>
          <w:p>
            <w:pPr>
              <w:widowControl/>
              <w:spacing w:line="560" w:lineRule="exact"/>
              <w:jc w:val="center"/>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胃</w:t>
            </w:r>
            <w:r>
              <w:rPr>
                <w:rFonts w:hint="eastAsia" w:ascii="黑体" w:hAnsi="黑体" w:eastAsia="黑体" w:cs="黑体"/>
                <w:b w:val="0"/>
                <w:bCs w:val="0"/>
                <w:color w:val="333333"/>
                <w:kern w:val="0"/>
                <w:sz w:val="32"/>
                <w:szCs w:val="32"/>
                <w:lang w:val="en-US" w:eastAsia="zh-CN"/>
              </w:rPr>
              <w:t xml:space="preserve"> </w:t>
            </w:r>
            <w:r>
              <w:rPr>
                <w:rFonts w:hint="eastAsia" w:ascii="黑体" w:hAnsi="黑体" w:eastAsia="黑体" w:cs="黑体"/>
                <w:b w:val="0"/>
                <w:bCs w:val="0"/>
                <w:color w:val="333333"/>
                <w:kern w:val="0"/>
                <w:sz w:val="32"/>
                <w:szCs w:val="32"/>
                <w:lang w:eastAsia="zh-CN"/>
              </w:rPr>
              <w:t>癌</w:t>
            </w:r>
          </w:p>
        </w:tc>
        <w:tc>
          <w:tcPr>
            <w:tcW w:w="2574" w:type="dxa"/>
          </w:tcPr>
          <w:p>
            <w:pPr>
              <w:widowControl/>
              <w:spacing w:line="560" w:lineRule="exact"/>
              <w:jc w:val="both"/>
              <w:rPr>
                <w:rFonts w:hint="eastAsia" w:ascii="仿宋_GB2312" w:hAnsi="仿宋_GB2312" w:eastAsia="仿宋_GB2312" w:cs="仿宋_GB2312"/>
                <w:b/>
                <w:bCs/>
                <w:color w:val="333333"/>
                <w:kern w:val="0"/>
                <w:sz w:val="32"/>
                <w:szCs w:val="32"/>
                <w:vertAlign w:val="baseline"/>
              </w:rPr>
            </w:pPr>
            <w:r>
              <w:rPr>
                <w:rFonts w:hint="eastAsia" w:ascii="仿宋_GB2312" w:hAnsi="仿宋_GB2312" w:eastAsia="仿宋_GB2312" w:cs="仿宋_GB2312"/>
                <w:sz w:val="32"/>
                <w:szCs w:val="32"/>
              </w:rPr>
              <w:t>未被确诊为胃癌的45周岁及以上参保</w:t>
            </w:r>
            <w:r>
              <w:rPr>
                <w:rFonts w:hint="eastAsia" w:ascii="仿宋_GB2312" w:hAnsi="仿宋_GB2312" w:eastAsia="仿宋_GB2312" w:cs="仿宋_GB2312"/>
                <w:sz w:val="32"/>
                <w:szCs w:val="32"/>
                <w:lang w:eastAsia="zh-CN"/>
              </w:rPr>
              <w:t>人员</w:t>
            </w:r>
          </w:p>
        </w:tc>
        <w:tc>
          <w:tcPr>
            <w:tcW w:w="3740" w:type="dxa"/>
          </w:tcPr>
          <w:p>
            <w:pPr>
              <w:widowControl/>
              <w:spacing w:line="560" w:lineRule="exact"/>
              <w:jc w:val="both"/>
              <w:rPr>
                <w:rFonts w:hint="eastAsia" w:ascii="仿宋_GB2312" w:hAnsi="仿宋_GB2312" w:eastAsia="仿宋_GB2312" w:cs="仿宋_GB2312"/>
                <w:b/>
                <w:bCs/>
                <w:color w:val="333333"/>
                <w:kern w:val="0"/>
                <w:sz w:val="32"/>
                <w:szCs w:val="32"/>
                <w:vertAlign w:val="baseline"/>
              </w:rPr>
            </w:pPr>
            <w:r>
              <w:rPr>
                <w:rFonts w:hint="eastAsia" w:ascii="仿宋_GB2312" w:hAnsi="仿宋_GB2312" w:eastAsia="仿宋_GB2312" w:cs="仿宋_GB2312"/>
                <w:sz w:val="32"/>
                <w:szCs w:val="32"/>
              </w:rPr>
              <w:t>胃镜检查（包括诊查前必要的检查、检验项目，不含病理检查）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widowControl/>
              <w:spacing w:line="560" w:lineRule="exact"/>
              <w:jc w:val="center"/>
              <w:rPr>
                <w:rFonts w:hint="eastAsia" w:ascii="仿宋_GB2312" w:hAnsi="仿宋_GB2312" w:eastAsia="仿宋_GB2312" w:cs="仿宋_GB2312"/>
                <w:b/>
                <w:bCs/>
                <w:color w:val="333333"/>
                <w:kern w:val="0"/>
                <w:sz w:val="32"/>
                <w:szCs w:val="32"/>
                <w:vertAlign w:val="baseline"/>
              </w:rPr>
            </w:pPr>
            <w:r>
              <w:rPr>
                <w:rFonts w:hint="eastAsia" w:ascii="黑体" w:hAnsi="黑体" w:eastAsia="黑体" w:cs="黑体"/>
                <w:b w:val="0"/>
                <w:bCs w:val="0"/>
                <w:color w:val="333333"/>
                <w:kern w:val="0"/>
                <w:sz w:val="32"/>
                <w:szCs w:val="32"/>
                <w:lang w:val="en-US" w:eastAsia="zh-CN"/>
              </w:rPr>
              <w:t>3</w:t>
            </w:r>
          </w:p>
        </w:tc>
        <w:tc>
          <w:tcPr>
            <w:tcW w:w="1176" w:type="dxa"/>
            <w:vAlign w:val="center"/>
          </w:tcPr>
          <w:p>
            <w:pPr>
              <w:widowControl/>
              <w:spacing w:line="560" w:lineRule="exact"/>
              <w:jc w:val="center"/>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肝</w:t>
            </w:r>
            <w:r>
              <w:rPr>
                <w:rFonts w:hint="eastAsia" w:ascii="黑体" w:hAnsi="黑体" w:eastAsia="黑体" w:cs="黑体"/>
                <w:b w:val="0"/>
                <w:bCs w:val="0"/>
                <w:color w:val="333333"/>
                <w:kern w:val="0"/>
                <w:sz w:val="32"/>
                <w:szCs w:val="32"/>
                <w:lang w:val="en-US" w:eastAsia="zh-CN"/>
              </w:rPr>
              <w:t xml:space="preserve"> </w:t>
            </w:r>
            <w:r>
              <w:rPr>
                <w:rFonts w:hint="eastAsia" w:ascii="黑体" w:hAnsi="黑体" w:eastAsia="黑体" w:cs="黑体"/>
                <w:b w:val="0"/>
                <w:bCs w:val="0"/>
                <w:color w:val="333333"/>
                <w:kern w:val="0"/>
                <w:sz w:val="32"/>
                <w:szCs w:val="32"/>
                <w:lang w:eastAsia="zh-CN"/>
              </w:rPr>
              <w:t>癌</w:t>
            </w:r>
          </w:p>
        </w:tc>
        <w:tc>
          <w:tcPr>
            <w:tcW w:w="2574" w:type="dxa"/>
          </w:tcPr>
          <w:p>
            <w:pPr>
              <w:widowControl/>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未被确诊为肝癌的35周岁及以上男性和45周岁及以上女性的参保</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w:t>
            </w:r>
          </w:p>
          <w:p>
            <w:pPr>
              <w:widowControl/>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乙型肝炎病毒或（和）丙型肝炎病毒长期携带者</w:t>
            </w:r>
            <w:r>
              <w:rPr>
                <w:rFonts w:hint="eastAsia" w:ascii="仿宋_GB2312" w:hAnsi="仿宋_GB2312" w:eastAsia="仿宋_GB2312" w:cs="仿宋_GB2312"/>
                <w:sz w:val="32"/>
                <w:szCs w:val="32"/>
                <w:lang w:val="en-US" w:eastAsia="zh-CN"/>
              </w:rPr>
              <w:t>;</w:t>
            </w:r>
          </w:p>
          <w:p>
            <w:pPr>
              <w:widowControl/>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慢性肝炎和肝硬化患者</w:t>
            </w:r>
            <w:r>
              <w:rPr>
                <w:rFonts w:hint="eastAsia" w:ascii="仿宋_GB2312" w:hAnsi="仿宋_GB2312" w:eastAsia="仿宋_GB2312" w:cs="仿宋_GB2312"/>
                <w:sz w:val="32"/>
                <w:szCs w:val="32"/>
                <w:lang w:val="en-US" w:eastAsia="zh-CN"/>
              </w:rPr>
              <w:t>;</w:t>
            </w:r>
          </w:p>
          <w:p>
            <w:pPr>
              <w:widowControl/>
              <w:spacing w:line="560" w:lineRule="exact"/>
              <w:jc w:val="both"/>
              <w:rPr>
                <w:rFonts w:hint="eastAsia" w:ascii="仿宋_GB2312" w:hAnsi="仿宋_GB2312" w:eastAsia="仿宋_GB2312" w:cs="仿宋_GB2312"/>
                <w:b/>
                <w:bCs/>
                <w:color w:val="333333"/>
                <w:kern w:val="0"/>
                <w:sz w:val="32"/>
                <w:szCs w:val="32"/>
                <w:vertAlign w:val="baselin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甲胎蛋白持续阳性者</w:t>
            </w:r>
          </w:p>
        </w:tc>
        <w:tc>
          <w:tcPr>
            <w:tcW w:w="3740" w:type="dxa"/>
            <w:vAlign w:val="center"/>
          </w:tcPr>
          <w:p>
            <w:pPr>
              <w:widowControl/>
              <w:spacing w:line="560" w:lineRule="exact"/>
              <w:jc w:val="center"/>
              <w:rPr>
                <w:rFonts w:hint="eastAsia" w:ascii="仿宋_GB2312" w:hAnsi="仿宋_GB2312" w:eastAsia="仿宋_GB2312" w:cs="仿宋_GB2312"/>
                <w:b/>
                <w:bCs/>
                <w:color w:val="333333"/>
                <w:kern w:val="0"/>
                <w:sz w:val="32"/>
                <w:szCs w:val="32"/>
                <w:vertAlign w:val="baseline"/>
              </w:rPr>
            </w:pPr>
            <w:r>
              <w:rPr>
                <w:rFonts w:hint="eastAsia" w:ascii="仿宋_GB2312" w:hAnsi="仿宋_GB2312" w:eastAsia="仿宋_GB2312" w:cs="仿宋_GB2312"/>
                <w:sz w:val="32"/>
                <w:szCs w:val="32"/>
              </w:rPr>
              <w:t>血清甲胎蛋白（AFP）和肝脏B超检查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widowControl/>
              <w:spacing w:line="560" w:lineRule="exact"/>
              <w:jc w:val="center"/>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val="en-US" w:eastAsia="zh-CN"/>
              </w:rPr>
              <w:t>4</w:t>
            </w:r>
          </w:p>
        </w:tc>
        <w:tc>
          <w:tcPr>
            <w:tcW w:w="1176" w:type="dxa"/>
            <w:vAlign w:val="center"/>
          </w:tcPr>
          <w:p>
            <w:pPr>
              <w:widowControl/>
              <w:spacing w:line="560" w:lineRule="exact"/>
              <w:jc w:val="center"/>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大肠癌</w:t>
            </w:r>
          </w:p>
        </w:tc>
        <w:tc>
          <w:tcPr>
            <w:tcW w:w="2574" w:type="dxa"/>
          </w:tcPr>
          <w:p>
            <w:pPr>
              <w:widowControl/>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未被确诊为大肠癌的45周岁及以上参保</w:t>
            </w:r>
            <w:r>
              <w:rPr>
                <w:rFonts w:hint="eastAsia" w:ascii="仿宋_GB2312" w:hAnsi="仿宋_GB2312" w:eastAsia="仿宋_GB2312" w:cs="仿宋_GB2312"/>
                <w:sz w:val="32"/>
                <w:szCs w:val="32"/>
                <w:lang w:eastAsia="zh-CN"/>
              </w:rPr>
              <w:t>人员</w:t>
            </w:r>
          </w:p>
        </w:tc>
        <w:tc>
          <w:tcPr>
            <w:tcW w:w="3740" w:type="dxa"/>
          </w:tcPr>
          <w:p>
            <w:pPr>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肛门直肠指检、大便隐血试验（FOBT）检查，任一指标阳性的，可进行肠镜检查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widowControl/>
              <w:spacing w:line="560" w:lineRule="exact"/>
              <w:jc w:val="center"/>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val="en-US" w:eastAsia="zh-CN"/>
              </w:rPr>
              <w:t>5</w:t>
            </w:r>
          </w:p>
        </w:tc>
        <w:tc>
          <w:tcPr>
            <w:tcW w:w="1176" w:type="dxa"/>
            <w:vAlign w:val="center"/>
          </w:tcPr>
          <w:p>
            <w:pPr>
              <w:widowControl/>
              <w:spacing w:line="560" w:lineRule="exact"/>
              <w:jc w:val="center"/>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乳腺癌</w:t>
            </w:r>
          </w:p>
        </w:tc>
        <w:tc>
          <w:tcPr>
            <w:tcW w:w="2574" w:type="dxa"/>
          </w:tcPr>
          <w:p>
            <w:pPr>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未被确诊</w:t>
            </w:r>
            <w:r>
              <w:rPr>
                <w:rFonts w:hint="eastAsia" w:ascii="仿宋_GB2312" w:hAnsi="仿宋_GB2312" w:eastAsia="仿宋_GB2312" w:cs="仿宋_GB2312"/>
                <w:sz w:val="32"/>
                <w:szCs w:val="32"/>
                <w:lang w:eastAsia="zh-CN"/>
              </w:rPr>
              <w:t>为乳腺癌的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周岁及以上</w:t>
            </w:r>
            <w:r>
              <w:rPr>
                <w:rFonts w:hint="eastAsia" w:ascii="仿宋_GB2312" w:hAnsi="仿宋_GB2312" w:eastAsia="仿宋_GB2312" w:cs="仿宋_GB2312"/>
                <w:sz w:val="32"/>
                <w:szCs w:val="32"/>
                <w:lang w:eastAsia="zh-CN"/>
              </w:rPr>
              <w:t>女性参保人员</w:t>
            </w:r>
          </w:p>
        </w:tc>
        <w:tc>
          <w:tcPr>
            <w:tcW w:w="3740" w:type="dxa"/>
          </w:tcPr>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乳腺超声或乳腺钼靶X线摄影检查。其中，35岁至49岁每半年可检查1次，50岁及以上每2年可检查1次。</w:t>
            </w:r>
          </w:p>
          <w:p>
            <w:pPr>
              <w:widowControl/>
              <w:spacing w:line="560" w:lineRule="exact"/>
              <w:jc w:val="both"/>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widowControl/>
              <w:spacing w:line="560" w:lineRule="exact"/>
              <w:jc w:val="center"/>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val="en-US" w:eastAsia="zh-CN"/>
              </w:rPr>
              <w:t>6</w:t>
            </w:r>
          </w:p>
        </w:tc>
        <w:tc>
          <w:tcPr>
            <w:tcW w:w="1176" w:type="dxa"/>
            <w:vAlign w:val="center"/>
          </w:tcPr>
          <w:p>
            <w:pPr>
              <w:widowControl/>
              <w:spacing w:line="560" w:lineRule="exact"/>
              <w:jc w:val="center"/>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宫颈癌</w:t>
            </w:r>
          </w:p>
        </w:tc>
        <w:tc>
          <w:tcPr>
            <w:tcW w:w="2574" w:type="dxa"/>
          </w:tcPr>
          <w:p>
            <w:pPr>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未被确诊</w:t>
            </w:r>
            <w:r>
              <w:rPr>
                <w:rFonts w:hint="eastAsia" w:ascii="仿宋_GB2312" w:hAnsi="仿宋_GB2312" w:eastAsia="仿宋_GB2312" w:cs="仿宋_GB2312"/>
                <w:sz w:val="32"/>
                <w:szCs w:val="32"/>
                <w:lang w:eastAsia="zh-CN"/>
              </w:rPr>
              <w:t>为宫颈癌的</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周岁及以上</w:t>
            </w:r>
            <w:r>
              <w:rPr>
                <w:rFonts w:hint="eastAsia" w:ascii="仿宋_GB2312" w:hAnsi="仿宋_GB2312" w:eastAsia="仿宋_GB2312" w:cs="仿宋_GB2312"/>
                <w:sz w:val="32"/>
                <w:szCs w:val="32"/>
                <w:lang w:eastAsia="zh-CN"/>
              </w:rPr>
              <w:t>有性接触史的女性参保人员</w:t>
            </w:r>
          </w:p>
        </w:tc>
        <w:tc>
          <w:tcPr>
            <w:tcW w:w="3740" w:type="dxa"/>
          </w:tcPr>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1.25周岁至29周岁，</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lang w:val="en-US" w:eastAsia="zh-CN"/>
              </w:rPr>
              <w:t>5年可进行1次薄层液基细胞（TCT）检测；</w:t>
            </w:r>
          </w:p>
          <w:p>
            <w:pPr>
              <w:widowControl w:val="0"/>
              <w:spacing w:line="560" w:lineRule="exact"/>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2.30周岁至40周岁（不含），每5年可进行1次薄层液基细胞（TCT）+人乳头瘤病毒（HPV）联合检测或薄层液基细胞（TCT）检测；3.40周岁（含）至65周岁，每年可进行1次薄层液基细胞（TCT）+人乳头瘤病毒（HPV）联合检测或薄层液基细胞（TCT）检测。</w:t>
            </w:r>
          </w:p>
        </w:tc>
      </w:tr>
    </w:tbl>
    <w:p>
      <w:pPr>
        <w:widowControl/>
        <w:spacing w:line="560" w:lineRule="exact"/>
        <w:jc w:val="both"/>
        <w:rPr>
          <w:rFonts w:hint="eastAsia" w:ascii="仿宋_GB2312" w:hAnsi="仿宋_GB2312" w:eastAsia="仿宋_GB2312" w:cs="仿宋_GB2312"/>
          <w:b/>
          <w:bCs/>
          <w:color w:val="333333"/>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60A05"/>
    <w:multiLevelType w:val="singleLevel"/>
    <w:tmpl w:val="A2C60A05"/>
    <w:lvl w:ilvl="0" w:tentative="0">
      <w:start w:val="4"/>
      <w:numFmt w:val="chineseCounting"/>
      <w:suff w:val="nothing"/>
      <w:lvlText w:val="（%1）"/>
      <w:lvlJc w:val="left"/>
      <w:rPr>
        <w:rFonts w:hint="eastAsia"/>
      </w:rPr>
    </w:lvl>
  </w:abstractNum>
  <w:abstractNum w:abstractNumId="1">
    <w:nsid w:val="6101090D"/>
    <w:multiLevelType w:val="singleLevel"/>
    <w:tmpl w:val="6101090D"/>
    <w:lvl w:ilvl="0" w:tentative="0">
      <w:start w:val="6"/>
      <w:numFmt w:val="chineseCounting"/>
      <w:suff w:val="space"/>
      <w:lvlText w:val="第%1章"/>
      <w:lvlJc w:val="left"/>
    </w:lvl>
  </w:abstractNum>
  <w:abstractNum w:abstractNumId="2">
    <w:nsid w:val="61010951"/>
    <w:multiLevelType w:val="singleLevel"/>
    <w:tmpl w:val="61010951"/>
    <w:lvl w:ilvl="0" w:tentative="0">
      <w:start w:val="8"/>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666A9"/>
    <w:rsid w:val="2FAF678D"/>
    <w:rsid w:val="3A576ACC"/>
    <w:rsid w:val="545D70AB"/>
    <w:rsid w:val="5BF3F41F"/>
    <w:rsid w:val="6D4F45AF"/>
    <w:rsid w:val="7DDB587A"/>
    <w:rsid w:val="7F6B38DB"/>
    <w:rsid w:val="7FFBD099"/>
    <w:rsid w:val="A7657A0B"/>
    <w:rsid w:val="ADEFFC88"/>
    <w:rsid w:val="AFF90677"/>
    <w:rsid w:val="BFCCB8BA"/>
    <w:rsid w:val="CFF3621A"/>
    <w:rsid w:val="DDEE5F03"/>
    <w:rsid w:val="DFFD4DAB"/>
    <w:rsid w:val="ED7F2702"/>
    <w:rsid w:val="FFF6F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0"/>
  </w:style>
  <w:style w:type="character" w:styleId="12">
    <w:name w:val="Hyperlink"/>
    <w:basedOn w:val="10"/>
    <w:unhideWhenUsed/>
    <w:qFormat/>
    <w:uiPriority w:val="99"/>
    <w:rPr>
      <w:color w:val="0000FF"/>
      <w:u w:val="single"/>
    </w:rPr>
  </w:style>
  <w:style w:type="paragraph" w:customStyle="1" w:styleId="13">
    <w:name w:val="Char Char2 Char Char Char Char Char Char Char Char Char1 Char"/>
    <w:basedOn w:val="1"/>
    <w:qFormat/>
    <w:uiPriority w:val="0"/>
    <w:pPr>
      <w:widowControl/>
      <w:spacing w:after="160" w:line="240" w:lineRule="exact"/>
      <w:jc w:val="left"/>
    </w:pPr>
    <w:rPr>
      <w:szCs w:val="20"/>
    </w:rPr>
  </w:style>
  <w:style w:type="paragraph" w:customStyle="1" w:styleId="14">
    <w:name w:val="p0"/>
    <w:basedOn w:val="1"/>
    <w:qFormat/>
    <w:uiPriority w:val="0"/>
    <w:pPr>
      <w:widowControl/>
    </w:pPr>
    <w:rPr>
      <w:rFonts w:cs="Calibri"/>
      <w:kern w:val="0"/>
      <w:szCs w:val="21"/>
    </w:rPr>
  </w:style>
  <w:style w:type="paragraph" w:customStyle="1" w:styleId="15">
    <w:name w:val="p15"/>
    <w:basedOn w:val="1"/>
    <w:qFormat/>
    <w:uiPriority w:val="0"/>
    <w:pPr>
      <w:widowControl/>
    </w:pPr>
    <w:rPr>
      <w:rFonts w:ascii="Times New Roman" w:hAnsi="Times New Roman"/>
      <w:kern w:val="0"/>
      <w:szCs w:val="21"/>
    </w:rPr>
  </w:style>
  <w:style w:type="character" w:customStyle="1" w:styleId="16">
    <w:name w:val="页眉 Char"/>
    <w:basedOn w:val="10"/>
    <w:link w:val="5"/>
    <w:semiHidden/>
    <w:qFormat/>
    <w:uiPriority w:val="0"/>
    <w:rPr>
      <w:rFonts w:ascii="Calibri" w:hAnsi="Calibri"/>
      <w:kern w:val="2"/>
      <w:sz w:val="18"/>
      <w:szCs w:val="18"/>
    </w:rPr>
  </w:style>
  <w:style w:type="character" w:customStyle="1" w:styleId="17">
    <w:name w:val="页脚 Char"/>
    <w:basedOn w:val="10"/>
    <w:link w:val="4"/>
    <w:qFormat/>
    <w:uiPriority w:val="99"/>
    <w:rPr>
      <w:rFonts w:ascii="Calibri" w:hAnsi="Calibri"/>
      <w:kern w:val="2"/>
      <w:sz w:val="18"/>
      <w:szCs w:val="18"/>
    </w:rPr>
  </w:style>
  <w:style w:type="character" w:customStyle="1" w:styleId="18">
    <w:name w:val="HTML 预设格式 Char"/>
    <w:basedOn w:val="10"/>
    <w:link w:val="6"/>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550</Words>
  <Characters>3140</Characters>
  <Lines>26</Lines>
  <Paragraphs>7</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2019-10-12T18:12:00Z</dcterms:created>
  <dc:creator>赵瑜</dc:creator>
  <cp:lastModifiedBy>greatwall</cp:lastModifiedBy>
  <cp:lastPrinted>2021-10-21T10:39:00Z</cp:lastPrinted>
  <dcterms:modified xsi:type="dcterms:W3CDTF">2021-10-25T15:34:15Z</dcterms:modified>
  <dc:title>海南省基本医疗保险门诊统筹管理办法（试行）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0AB176D4E27C4684B28B0250C9BCB1D0</vt:lpwstr>
  </property>
</Properties>
</file>