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B4" w:rsidRDefault="00091A46">
      <w:pPr>
        <w:adjustRightInd w:val="0"/>
        <w:snapToGrid w:val="0"/>
        <w:spacing w:line="460" w:lineRule="exact"/>
        <w:jc w:val="left"/>
        <w:rPr>
          <w:rFonts w:ascii="黑体" w:eastAsia="黑体" w:hAnsi="黑体"/>
          <w:color w:val="000000" w:themeColor="text1"/>
          <w:sz w:val="32"/>
          <w:szCs w:val="32"/>
          <w:lang w:val="zh-CN"/>
        </w:rPr>
      </w:pPr>
      <w:r>
        <w:rPr>
          <w:rFonts w:ascii="黑体" w:eastAsia="黑体" w:hAnsi="黑体" w:hint="eastAsia"/>
          <w:color w:val="000000" w:themeColor="text1"/>
          <w:sz w:val="32"/>
          <w:szCs w:val="32"/>
          <w:lang w:val="zh-CN"/>
        </w:rPr>
        <w:t>附件</w:t>
      </w:r>
    </w:p>
    <w:p w:rsidR="001F44B4" w:rsidRDefault="00091A46">
      <w:pPr>
        <w:adjustRightInd w:val="0"/>
        <w:snapToGrid w:val="0"/>
        <w:spacing w:line="8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广西开展全国婴幼儿照护服务示范城市创建活动评分细则</w:t>
      </w:r>
    </w:p>
    <w:p w:rsidR="001F44B4" w:rsidRDefault="001F44B4">
      <w:pPr>
        <w:pStyle w:val="2"/>
        <w:spacing w:line="200" w:lineRule="exact"/>
        <w:ind w:firstLine="640"/>
        <w:rPr>
          <w:color w:val="000000" w:themeColor="text1"/>
        </w:rPr>
      </w:pP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978"/>
        <w:gridCol w:w="8136"/>
        <w:gridCol w:w="2859"/>
        <w:gridCol w:w="908"/>
      </w:tblGrid>
      <w:tr w:rsidR="001F44B4">
        <w:trPr>
          <w:trHeight w:val="719"/>
          <w:tblHeader/>
          <w:jc w:val="center"/>
        </w:trPr>
        <w:tc>
          <w:tcPr>
            <w:tcW w:w="1174" w:type="dxa"/>
            <w:vAlign w:val="center"/>
          </w:tcPr>
          <w:p w:rsidR="001F44B4" w:rsidRDefault="00091A46">
            <w:pPr>
              <w:widowControl/>
              <w:adjustRightInd w:val="0"/>
              <w:snapToGrid w:val="0"/>
              <w:jc w:val="center"/>
              <w:rPr>
                <w:rFonts w:ascii="黑体" w:eastAsia="黑体" w:cs="黑体"/>
                <w:b/>
                <w:color w:val="000000" w:themeColor="text1"/>
                <w:kern w:val="0"/>
                <w:sz w:val="28"/>
              </w:rPr>
            </w:pPr>
            <w:r>
              <w:rPr>
                <w:rFonts w:ascii="黑体" w:eastAsia="黑体" w:cs="黑体" w:hint="eastAsia"/>
                <w:b/>
                <w:color w:val="000000" w:themeColor="text1"/>
                <w:kern w:val="0"/>
                <w:sz w:val="28"/>
              </w:rPr>
              <w:t>项目</w:t>
            </w:r>
          </w:p>
        </w:tc>
        <w:tc>
          <w:tcPr>
            <w:tcW w:w="978" w:type="dxa"/>
            <w:vAlign w:val="center"/>
          </w:tcPr>
          <w:p w:rsidR="001F44B4" w:rsidRDefault="00091A46">
            <w:pPr>
              <w:widowControl/>
              <w:adjustRightInd w:val="0"/>
              <w:snapToGrid w:val="0"/>
              <w:jc w:val="center"/>
              <w:rPr>
                <w:rFonts w:ascii="黑体" w:eastAsia="黑体" w:cs="黑体"/>
                <w:b/>
                <w:color w:val="000000" w:themeColor="text1"/>
                <w:kern w:val="0"/>
                <w:sz w:val="28"/>
              </w:rPr>
            </w:pPr>
            <w:r>
              <w:rPr>
                <w:rFonts w:ascii="黑体" w:eastAsia="黑体" w:cs="黑体" w:hint="eastAsia"/>
                <w:b/>
                <w:color w:val="000000" w:themeColor="text1"/>
                <w:kern w:val="0"/>
                <w:sz w:val="28"/>
              </w:rPr>
              <w:t>分值</w:t>
            </w:r>
          </w:p>
        </w:tc>
        <w:tc>
          <w:tcPr>
            <w:tcW w:w="8136" w:type="dxa"/>
            <w:vAlign w:val="center"/>
          </w:tcPr>
          <w:p w:rsidR="001F44B4" w:rsidRDefault="00091A46">
            <w:pPr>
              <w:widowControl/>
              <w:adjustRightInd w:val="0"/>
              <w:snapToGrid w:val="0"/>
              <w:jc w:val="center"/>
              <w:rPr>
                <w:rFonts w:ascii="黑体" w:eastAsia="黑体" w:cs="黑体"/>
                <w:b/>
                <w:color w:val="000000" w:themeColor="text1"/>
                <w:kern w:val="0"/>
                <w:sz w:val="28"/>
              </w:rPr>
            </w:pPr>
            <w:r>
              <w:rPr>
                <w:rFonts w:ascii="黑体" w:eastAsia="黑体" w:cs="黑体" w:hint="eastAsia"/>
                <w:b/>
                <w:color w:val="000000" w:themeColor="text1"/>
                <w:kern w:val="0"/>
                <w:sz w:val="28"/>
              </w:rPr>
              <w:t>评估内容及评分细则</w:t>
            </w:r>
          </w:p>
        </w:tc>
        <w:tc>
          <w:tcPr>
            <w:tcW w:w="2859" w:type="dxa"/>
            <w:vAlign w:val="center"/>
          </w:tcPr>
          <w:p w:rsidR="001F44B4" w:rsidRDefault="00091A46">
            <w:pPr>
              <w:widowControl/>
              <w:adjustRightInd w:val="0"/>
              <w:snapToGrid w:val="0"/>
              <w:jc w:val="center"/>
              <w:rPr>
                <w:rFonts w:ascii="黑体" w:eastAsia="黑体" w:cs="黑体"/>
                <w:b/>
                <w:color w:val="000000" w:themeColor="text1"/>
                <w:kern w:val="0"/>
                <w:sz w:val="28"/>
              </w:rPr>
            </w:pPr>
            <w:r>
              <w:rPr>
                <w:rFonts w:ascii="黑体" w:eastAsia="黑体" w:cs="黑体" w:hint="eastAsia"/>
                <w:b/>
                <w:color w:val="000000" w:themeColor="text1"/>
                <w:kern w:val="0"/>
                <w:sz w:val="28"/>
              </w:rPr>
              <w:t>评估情况</w:t>
            </w:r>
          </w:p>
        </w:tc>
        <w:tc>
          <w:tcPr>
            <w:tcW w:w="908" w:type="dxa"/>
            <w:vAlign w:val="center"/>
          </w:tcPr>
          <w:p w:rsidR="001F44B4" w:rsidRDefault="00091A46">
            <w:pPr>
              <w:widowControl/>
              <w:adjustRightInd w:val="0"/>
              <w:snapToGrid w:val="0"/>
              <w:jc w:val="center"/>
              <w:rPr>
                <w:rFonts w:ascii="黑体" w:eastAsia="黑体" w:cs="黑体"/>
                <w:b/>
                <w:color w:val="000000" w:themeColor="text1"/>
                <w:kern w:val="0"/>
                <w:sz w:val="28"/>
              </w:rPr>
            </w:pPr>
            <w:r>
              <w:rPr>
                <w:rFonts w:ascii="黑体" w:eastAsia="黑体" w:cs="黑体" w:hint="eastAsia"/>
                <w:b/>
                <w:color w:val="000000" w:themeColor="text1"/>
                <w:kern w:val="0"/>
                <w:sz w:val="28"/>
              </w:rPr>
              <w:t>得分</w:t>
            </w:r>
          </w:p>
        </w:tc>
      </w:tr>
      <w:tr w:rsidR="001F44B4">
        <w:trPr>
          <w:trHeight w:val="665"/>
          <w:jc w:val="center"/>
        </w:trPr>
        <w:tc>
          <w:tcPr>
            <w:tcW w:w="1174" w:type="dxa"/>
            <w:vMerge w:val="restart"/>
            <w:tcBorders>
              <w:bottom w:val="single" w:sz="4" w:space="0" w:color="auto"/>
            </w:tcBorders>
            <w:vAlign w:val="center"/>
          </w:tcPr>
          <w:p w:rsidR="001F44B4" w:rsidRDefault="00091A46">
            <w:pPr>
              <w:widowControl/>
              <w:adjustRightInd w:val="0"/>
              <w:snapToGrid w:val="0"/>
              <w:jc w:val="center"/>
              <w:rPr>
                <w:rFonts w:ascii="仿宋_GB2312" w:eastAsia="仿宋_GB2312" w:cs="仿宋_GB2312"/>
                <w:b/>
                <w:snapToGrid w:val="0"/>
                <w:color w:val="000000" w:themeColor="text1"/>
                <w:kern w:val="0"/>
                <w:sz w:val="24"/>
              </w:rPr>
            </w:pPr>
            <w:r>
              <w:rPr>
                <w:rFonts w:ascii="仿宋_GB2312" w:eastAsia="仿宋_GB2312" w:cs="仿宋_GB2312" w:hint="eastAsia"/>
                <w:b/>
                <w:bCs/>
                <w:snapToGrid w:val="0"/>
                <w:color w:val="000000" w:themeColor="text1"/>
                <w:kern w:val="0"/>
                <w:sz w:val="24"/>
              </w:rPr>
              <w:t>一、核心指标</w:t>
            </w:r>
          </w:p>
        </w:tc>
        <w:tc>
          <w:tcPr>
            <w:tcW w:w="978" w:type="dxa"/>
            <w:vMerge w:val="restart"/>
            <w:tcBorders>
              <w:bottom w:val="single" w:sz="4" w:space="0" w:color="auto"/>
            </w:tcBorders>
            <w:vAlign w:val="center"/>
          </w:tcPr>
          <w:p w:rsidR="001F44B4" w:rsidRDefault="00091A46">
            <w:pPr>
              <w:adjustRightInd w:val="0"/>
              <w:snapToGrid w:val="0"/>
              <w:jc w:val="center"/>
              <w:rPr>
                <w:rFonts w:ascii="仿宋_GB2312" w:eastAsia="仿宋_GB2312" w:cs="仿宋_GB2312"/>
                <w:bCs/>
                <w:snapToGrid w:val="0"/>
                <w:color w:val="000000" w:themeColor="text1"/>
                <w:kern w:val="0"/>
                <w:sz w:val="24"/>
              </w:rPr>
            </w:pPr>
            <w:r>
              <w:rPr>
                <w:rFonts w:ascii="仿宋_GB2312" w:eastAsia="仿宋_GB2312" w:cs="仿宋_GB2312" w:hint="eastAsia"/>
                <w:bCs/>
                <w:snapToGrid w:val="0"/>
                <w:color w:val="000000" w:themeColor="text1"/>
                <w:kern w:val="0"/>
                <w:sz w:val="24"/>
              </w:rPr>
              <w:t>22</w:t>
            </w:r>
          </w:p>
        </w:tc>
        <w:tc>
          <w:tcPr>
            <w:tcW w:w="8136" w:type="dxa"/>
            <w:tcBorders>
              <w:bottom w:val="single" w:sz="4" w:space="0" w:color="auto"/>
            </w:tcBorders>
            <w:vAlign w:val="center"/>
          </w:tcPr>
          <w:p w:rsidR="001F44B4" w:rsidRDefault="00091A46">
            <w:pPr>
              <w:adjustRightInd w:val="0"/>
              <w:snapToGrid w:val="0"/>
              <w:jc w:val="left"/>
              <w:rPr>
                <w:rFonts w:ascii="仿宋_GB2312" w:eastAsia="仿宋_GB2312" w:cs="仿宋_GB2312"/>
                <w:snapToGrid w:val="0"/>
                <w:color w:val="000000" w:themeColor="text1"/>
                <w:kern w:val="0"/>
                <w:sz w:val="24"/>
                <w:lang w:val="zh-CN"/>
              </w:rPr>
            </w:pPr>
            <w:r>
              <w:rPr>
                <w:rFonts w:ascii="仿宋_GB2312" w:eastAsia="仿宋_GB2312" w:cs="仿宋_GB2312" w:hint="eastAsia"/>
                <w:snapToGrid w:val="0"/>
                <w:color w:val="000000" w:themeColor="text1"/>
                <w:kern w:val="0"/>
                <w:sz w:val="24"/>
              </w:rPr>
              <w:t>1.</w:t>
            </w:r>
            <w:r>
              <w:rPr>
                <w:rFonts w:ascii="仿宋_GB2312" w:eastAsia="仿宋_GB2312" w:cs="仿宋_GB2312" w:hint="eastAsia"/>
                <w:snapToGrid w:val="0"/>
                <w:color w:val="000000" w:themeColor="text1"/>
                <w:kern w:val="0"/>
                <w:sz w:val="24"/>
              </w:rPr>
              <w:t>每千人口拥有</w:t>
            </w: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岁以下婴幼儿托位数高于全区平均水平得</w:t>
            </w:r>
            <w:r>
              <w:rPr>
                <w:rFonts w:ascii="仿宋_GB2312" w:eastAsia="仿宋_GB2312" w:cs="仿宋_GB2312" w:hint="eastAsia"/>
                <w:snapToGrid w:val="0"/>
                <w:color w:val="000000" w:themeColor="text1"/>
                <w:kern w:val="0"/>
                <w:sz w:val="24"/>
              </w:rPr>
              <w:t>8</w:t>
            </w:r>
            <w:r>
              <w:rPr>
                <w:rFonts w:ascii="仿宋_GB2312" w:eastAsia="仿宋_GB2312" w:cs="仿宋_GB2312" w:hint="eastAsia"/>
                <w:snapToGrid w:val="0"/>
                <w:color w:val="000000" w:themeColor="text1"/>
                <w:kern w:val="0"/>
                <w:sz w:val="24"/>
              </w:rPr>
              <w:t>分，否则不得分。</w:t>
            </w:r>
          </w:p>
        </w:tc>
        <w:tc>
          <w:tcPr>
            <w:tcW w:w="2859" w:type="dxa"/>
            <w:tcBorders>
              <w:bottom w:val="single" w:sz="4" w:space="0" w:color="auto"/>
            </w:tcBorders>
            <w:vAlign w:val="center"/>
          </w:tcPr>
          <w:p w:rsidR="001F44B4" w:rsidRDefault="001F44B4">
            <w:pPr>
              <w:adjustRightInd w:val="0"/>
              <w:snapToGrid w:val="0"/>
              <w:rPr>
                <w:rFonts w:ascii="仿宋_GB2312" w:eastAsia="仿宋_GB2312" w:cs="仿宋_GB2312"/>
                <w:snapToGrid w:val="0"/>
                <w:color w:val="000000" w:themeColor="text1"/>
                <w:kern w:val="0"/>
                <w:sz w:val="24"/>
              </w:rPr>
            </w:pPr>
          </w:p>
        </w:tc>
        <w:tc>
          <w:tcPr>
            <w:tcW w:w="908" w:type="dxa"/>
            <w:tcBorders>
              <w:bottom w:val="single" w:sz="4" w:space="0" w:color="auto"/>
            </w:tcBorders>
            <w:vAlign w:val="center"/>
          </w:tcPr>
          <w:p w:rsidR="001F44B4" w:rsidRDefault="001F44B4">
            <w:pPr>
              <w:widowControl/>
              <w:adjustRightInd w:val="0"/>
              <w:snapToGrid w:val="0"/>
              <w:jc w:val="center"/>
              <w:rPr>
                <w:rFonts w:ascii="仿宋_GB2312" w:eastAsia="仿宋_GB2312" w:cs="仿宋_GB2312"/>
                <w:snapToGrid w:val="0"/>
                <w:color w:val="000000" w:themeColor="text1"/>
                <w:kern w:val="0"/>
                <w:sz w:val="24"/>
              </w:rPr>
            </w:pPr>
          </w:p>
        </w:tc>
      </w:tr>
      <w:tr w:rsidR="001F44B4">
        <w:trPr>
          <w:trHeight w:val="874"/>
          <w:tblHeader/>
          <w:jc w:val="center"/>
        </w:trPr>
        <w:tc>
          <w:tcPr>
            <w:tcW w:w="1174" w:type="dxa"/>
            <w:vMerge/>
            <w:vAlign w:val="center"/>
          </w:tcPr>
          <w:p w:rsidR="001F44B4" w:rsidRDefault="001F44B4">
            <w:pPr>
              <w:jc w:val="cente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widowControl/>
              <w:adjustRightInd w:val="0"/>
              <w:snapToGrid w:val="0"/>
              <w:jc w:val="left"/>
              <w:rPr>
                <w:rFonts w:ascii="仿宋_GB2312" w:eastAsia="仿宋_GB2312" w:cs="仿宋_GB2312"/>
                <w:snapToGrid w:val="0"/>
                <w:color w:val="000000" w:themeColor="text1"/>
                <w:kern w:val="0"/>
                <w:sz w:val="24"/>
              </w:rPr>
            </w:pPr>
            <w:r>
              <w:rPr>
                <w:rFonts w:ascii="仿宋_GB2312" w:eastAsia="仿宋_GB2312" w:cs="仿宋_GB2312" w:hint="eastAsia"/>
                <w:snapToGrid w:val="0"/>
                <w:color w:val="000000" w:themeColor="text1"/>
                <w:kern w:val="0"/>
                <w:sz w:val="24"/>
              </w:rPr>
              <w:t>2.</w:t>
            </w:r>
            <w:r>
              <w:rPr>
                <w:rFonts w:ascii="仿宋_GB2312" w:eastAsia="仿宋_GB2312" w:cs="仿宋_GB2312" w:hint="eastAsia"/>
                <w:snapToGrid w:val="0"/>
                <w:color w:val="000000" w:themeColor="text1"/>
                <w:kern w:val="0"/>
                <w:sz w:val="24"/>
              </w:rPr>
              <w:t>市级婴幼儿照护服务指导中心建成的得</w:t>
            </w: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分，否则不得分；辖区内已建成的县级婴幼儿照护服务指导中心覆盖率高于全区平均水平得</w:t>
            </w: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snapToGrid w:val="0"/>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snapToGrid w:val="0"/>
                <w:color w:val="000000" w:themeColor="text1"/>
                <w:kern w:val="0"/>
                <w:sz w:val="24"/>
              </w:rPr>
            </w:pPr>
          </w:p>
        </w:tc>
      </w:tr>
      <w:tr w:rsidR="001F44B4">
        <w:trPr>
          <w:trHeight w:val="974"/>
          <w:tblHeader/>
          <w:jc w:val="center"/>
        </w:trPr>
        <w:tc>
          <w:tcPr>
            <w:tcW w:w="1174" w:type="dxa"/>
            <w:vMerge/>
            <w:vAlign w:val="center"/>
          </w:tcPr>
          <w:p w:rsidR="001F44B4" w:rsidRDefault="001F44B4">
            <w:pPr>
              <w:jc w:val="cente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widowControl/>
              <w:adjustRightInd w:val="0"/>
              <w:snapToGrid w:val="0"/>
              <w:jc w:val="left"/>
              <w:rPr>
                <w:rFonts w:ascii="仿宋_GB2312" w:eastAsia="仿宋_GB2312" w:cs="仿宋_GB2312"/>
                <w:snapToGrid w:val="0"/>
                <w:color w:val="000000" w:themeColor="text1"/>
                <w:kern w:val="0"/>
                <w:sz w:val="24"/>
              </w:rPr>
            </w:pP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将婴幼儿照护服务纳入本级为民办实事工程的得</w:t>
            </w: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分，否则不得分；规范做好已注册登记托育机构的备案审核，托育机构注册登记后备案率高于全区平均水平得</w:t>
            </w:r>
            <w:r>
              <w:rPr>
                <w:rFonts w:ascii="仿宋_GB2312" w:eastAsia="仿宋_GB2312" w:cs="仿宋_GB2312" w:hint="eastAsia"/>
                <w:snapToGrid w:val="0"/>
                <w:color w:val="000000" w:themeColor="text1"/>
                <w:kern w:val="0"/>
                <w:sz w:val="24"/>
              </w:rPr>
              <w:t>5</w:t>
            </w:r>
            <w:r>
              <w:rPr>
                <w:rFonts w:ascii="仿宋_GB2312" w:eastAsia="仿宋_GB2312" w:cs="仿宋_GB2312" w:hint="eastAsia"/>
                <w:snapToGrid w:val="0"/>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snapToGrid w:val="0"/>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snapToGrid w:val="0"/>
                <w:color w:val="000000" w:themeColor="text1"/>
                <w:kern w:val="0"/>
                <w:sz w:val="24"/>
              </w:rPr>
            </w:pPr>
          </w:p>
        </w:tc>
      </w:tr>
      <w:tr w:rsidR="001F44B4">
        <w:trPr>
          <w:trHeight w:val="984"/>
          <w:jc w:val="center"/>
        </w:trPr>
        <w:tc>
          <w:tcPr>
            <w:tcW w:w="1174" w:type="dxa"/>
            <w:vMerge w:val="restart"/>
            <w:vAlign w:val="center"/>
          </w:tcPr>
          <w:p w:rsidR="001F44B4" w:rsidRDefault="00091A46">
            <w:pPr>
              <w:widowControl/>
              <w:adjustRightInd w:val="0"/>
              <w:snapToGrid w:val="0"/>
              <w:jc w:val="center"/>
              <w:rPr>
                <w:rFonts w:ascii="仿宋_GB2312" w:eastAsia="仿宋_GB2312" w:cs="仿宋_GB2312"/>
                <w:b/>
                <w:bCs/>
                <w:snapToGrid w:val="0"/>
                <w:color w:val="000000" w:themeColor="text1"/>
                <w:kern w:val="0"/>
                <w:sz w:val="24"/>
              </w:rPr>
            </w:pPr>
            <w:r>
              <w:rPr>
                <w:rFonts w:ascii="仿宋_GB2312" w:eastAsia="仿宋_GB2312" w:cs="仿宋_GB2312" w:hint="eastAsia"/>
                <w:b/>
                <w:bCs/>
                <w:snapToGrid w:val="0"/>
                <w:color w:val="000000" w:themeColor="text1"/>
                <w:kern w:val="0"/>
                <w:sz w:val="24"/>
              </w:rPr>
              <w:t>二、党政</w:t>
            </w:r>
            <w:r>
              <w:rPr>
                <w:rFonts w:ascii="仿宋_GB2312" w:eastAsia="仿宋_GB2312" w:cs="仿宋_GB2312"/>
                <w:b/>
                <w:bCs/>
                <w:snapToGrid w:val="0"/>
                <w:color w:val="000000" w:themeColor="text1"/>
                <w:kern w:val="0"/>
                <w:sz w:val="24"/>
              </w:rPr>
              <w:t>责任</w:t>
            </w:r>
          </w:p>
        </w:tc>
        <w:tc>
          <w:tcPr>
            <w:tcW w:w="978" w:type="dxa"/>
            <w:vMerge w:val="restart"/>
            <w:vAlign w:val="center"/>
          </w:tcPr>
          <w:p w:rsidR="001F44B4" w:rsidRDefault="00091A46">
            <w:pPr>
              <w:widowControl/>
              <w:adjustRightInd w:val="0"/>
              <w:snapToGrid w:val="0"/>
              <w:jc w:val="center"/>
              <w:rPr>
                <w:rFonts w:ascii="仿宋_GB2312" w:eastAsia="仿宋_GB2312" w:cs="仿宋_GB2312"/>
                <w:bCs/>
                <w:snapToGrid w:val="0"/>
                <w:color w:val="000000" w:themeColor="text1"/>
                <w:kern w:val="0"/>
                <w:sz w:val="24"/>
              </w:rPr>
            </w:pPr>
            <w:r>
              <w:rPr>
                <w:rFonts w:ascii="仿宋_GB2312" w:eastAsia="仿宋_GB2312" w:cs="仿宋_GB2312" w:hint="eastAsia"/>
                <w:bCs/>
                <w:snapToGrid w:val="0"/>
                <w:color w:val="000000" w:themeColor="text1"/>
                <w:kern w:val="0"/>
                <w:sz w:val="24"/>
              </w:rPr>
              <w:t>12</w:t>
            </w:r>
          </w:p>
        </w:tc>
        <w:tc>
          <w:tcPr>
            <w:tcW w:w="8136" w:type="dxa"/>
            <w:vAlign w:val="center"/>
          </w:tcPr>
          <w:p w:rsidR="001F44B4" w:rsidRDefault="00091A46">
            <w:pPr>
              <w:widowControl/>
              <w:adjustRightInd w:val="0"/>
              <w:snapToGrid w:val="0"/>
              <w:jc w:val="left"/>
              <w:rPr>
                <w:rFonts w:ascii="仿宋_GB2312" w:eastAsia="仿宋_GB2312" w:cs="仿宋_GB2312"/>
                <w:snapToGrid w:val="0"/>
                <w:color w:val="000000" w:themeColor="text1"/>
                <w:kern w:val="0"/>
                <w:sz w:val="24"/>
              </w:rPr>
            </w:pPr>
            <w:r>
              <w:rPr>
                <w:rFonts w:ascii="仿宋_GB2312" w:eastAsia="仿宋_GB2312" w:cs="仿宋_GB2312" w:hint="eastAsia"/>
                <w:snapToGrid w:val="0"/>
                <w:color w:val="000000" w:themeColor="text1"/>
                <w:kern w:val="0"/>
                <w:sz w:val="24"/>
              </w:rPr>
              <w:t>4.</w:t>
            </w:r>
            <w:r>
              <w:rPr>
                <w:rFonts w:ascii="仿宋_GB2312" w:eastAsia="仿宋_GB2312" w:cs="仿宋_GB2312" w:hint="eastAsia"/>
                <w:snapToGrid w:val="0"/>
                <w:color w:val="000000" w:themeColor="text1"/>
                <w:kern w:val="0"/>
                <w:sz w:val="24"/>
              </w:rPr>
              <w:t>市本级及所辖县（市、区）均出台婴幼儿照护服务发展联席会议制度的得</w:t>
            </w: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分，每少</w:t>
            </w:r>
            <w:r>
              <w:rPr>
                <w:rFonts w:ascii="仿宋_GB2312" w:eastAsia="仿宋_GB2312" w:cs="仿宋_GB2312" w:hint="eastAsia"/>
                <w:snapToGrid w:val="0"/>
                <w:color w:val="000000" w:themeColor="text1"/>
                <w:kern w:val="0"/>
                <w:sz w:val="24"/>
              </w:rPr>
              <w:t>1</w:t>
            </w:r>
            <w:r>
              <w:rPr>
                <w:rFonts w:ascii="仿宋_GB2312" w:eastAsia="仿宋_GB2312" w:cs="仿宋_GB2312" w:hint="eastAsia"/>
                <w:snapToGrid w:val="0"/>
                <w:color w:val="000000" w:themeColor="text1"/>
                <w:kern w:val="0"/>
                <w:sz w:val="24"/>
              </w:rPr>
              <w:t>个县（市、区）未出台的扣</w:t>
            </w:r>
            <w:r>
              <w:rPr>
                <w:rFonts w:ascii="仿宋_GB2312" w:eastAsia="仿宋_GB2312" w:cs="仿宋_GB2312" w:hint="eastAsia"/>
                <w:snapToGrid w:val="0"/>
                <w:color w:val="000000" w:themeColor="text1"/>
                <w:kern w:val="0"/>
                <w:sz w:val="24"/>
              </w:rPr>
              <w:t>1</w:t>
            </w:r>
            <w:r>
              <w:rPr>
                <w:rFonts w:ascii="仿宋_GB2312" w:eastAsia="仿宋_GB2312" w:cs="仿宋_GB2312" w:hint="eastAsia"/>
                <w:snapToGrid w:val="0"/>
                <w:color w:val="000000" w:themeColor="text1"/>
                <w:kern w:val="0"/>
                <w:sz w:val="24"/>
              </w:rPr>
              <w:t>分，扣完为止。每年至少召开</w:t>
            </w:r>
            <w:r>
              <w:rPr>
                <w:rFonts w:ascii="仿宋_GB2312" w:eastAsia="仿宋_GB2312" w:cs="仿宋_GB2312" w:hint="eastAsia"/>
                <w:snapToGrid w:val="0"/>
                <w:color w:val="000000" w:themeColor="text1"/>
                <w:kern w:val="0"/>
                <w:sz w:val="24"/>
              </w:rPr>
              <w:t>1</w:t>
            </w:r>
            <w:r>
              <w:rPr>
                <w:rFonts w:ascii="仿宋_GB2312" w:eastAsia="仿宋_GB2312" w:cs="仿宋_GB2312" w:hint="eastAsia"/>
                <w:snapToGrid w:val="0"/>
                <w:color w:val="000000" w:themeColor="text1"/>
                <w:kern w:val="0"/>
                <w:sz w:val="24"/>
              </w:rPr>
              <w:t>次以上联席会议，有会议纪要和研究内容的得</w:t>
            </w:r>
            <w:r>
              <w:rPr>
                <w:rFonts w:ascii="仿宋_GB2312" w:eastAsia="仿宋_GB2312" w:cs="仿宋_GB2312" w:hint="eastAsia"/>
                <w:snapToGrid w:val="0"/>
                <w:color w:val="000000" w:themeColor="text1"/>
                <w:kern w:val="0"/>
                <w:sz w:val="24"/>
              </w:rPr>
              <w:t>2</w:t>
            </w:r>
            <w:r>
              <w:rPr>
                <w:rFonts w:ascii="仿宋_GB2312" w:eastAsia="仿宋_GB2312" w:cs="仿宋_GB2312" w:hint="eastAsia"/>
                <w:snapToGrid w:val="0"/>
                <w:color w:val="000000" w:themeColor="text1"/>
                <w:kern w:val="0"/>
                <w:sz w:val="24"/>
              </w:rPr>
              <w:t>分，否则不得分。</w:t>
            </w:r>
          </w:p>
        </w:tc>
        <w:tc>
          <w:tcPr>
            <w:tcW w:w="2859" w:type="dxa"/>
            <w:vAlign w:val="center"/>
          </w:tcPr>
          <w:p w:rsidR="001F44B4" w:rsidRDefault="001F44B4">
            <w:pPr>
              <w:adjustRightInd w:val="0"/>
              <w:snapToGrid w:val="0"/>
              <w:rPr>
                <w:rFonts w:ascii="仿宋_GB2312" w:eastAsia="仿宋_GB2312" w:cs="仿宋_GB2312"/>
                <w:snapToGrid w:val="0"/>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snapToGrid w:val="0"/>
                <w:color w:val="000000" w:themeColor="text1"/>
                <w:kern w:val="0"/>
                <w:sz w:val="24"/>
              </w:rPr>
            </w:pPr>
          </w:p>
        </w:tc>
      </w:tr>
      <w:tr w:rsidR="001F44B4">
        <w:trPr>
          <w:trHeight w:val="690"/>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5.</w:t>
            </w:r>
            <w:r>
              <w:rPr>
                <w:rFonts w:ascii="仿宋_GB2312" w:eastAsia="仿宋_GB2312" w:cs="仿宋_GB2312" w:hint="eastAsia"/>
                <w:color w:val="000000" w:themeColor="text1"/>
                <w:kern w:val="0"/>
                <w:sz w:val="24"/>
              </w:rPr>
              <w:t>本级财政安排有婴幼儿照护服务发展预算经费，投入足额到位，管理规范的</w:t>
            </w:r>
            <w:r>
              <w:rPr>
                <w:rFonts w:ascii="仿宋_GB2312" w:eastAsia="仿宋_GB2312" w:cs="仿宋_GB2312" w:hint="eastAsia"/>
                <w:snapToGrid w:val="0"/>
                <w:color w:val="000000" w:themeColor="text1"/>
                <w:kern w:val="0"/>
                <w:sz w:val="24"/>
              </w:rPr>
              <w:t>得</w:t>
            </w:r>
            <w:r>
              <w:rPr>
                <w:rFonts w:ascii="仿宋_GB2312" w:eastAsia="仿宋_GB2312" w:cs="仿宋_GB2312" w:hint="eastAsia"/>
                <w:snapToGrid w:val="0"/>
                <w:color w:val="000000" w:themeColor="text1"/>
                <w:kern w:val="0"/>
                <w:sz w:val="24"/>
              </w:rPr>
              <w:t>3</w:t>
            </w:r>
            <w:r>
              <w:rPr>
                <w:rFonts w:ascii="仿宋_GB2312" w:eastAsia="仿宋_GB2312" w:cs="仿宋_GB2312" w:hint="eastAsia"/>
                <w:snapToGrid w:val="0"/>
                <w:color w:val="000000" w:themeColor="text1"/>
                <w:kern w:val="0"/>
                <w:sz w:val="24"/>
              </w:rPr>
              <w:t>分，否则不得分</w:t>
            </w:r>
            <w:r>
              <w:rPr>
                <w:rFonts w:ascii="仿宋_GB2312" w:eastAsia="仿宋_GB2312" w:cs="仿宋_GB2312" w:hint="eastAsia"/>
                <w:color w:val="000000" w:themeColor="text1"/>
                <w:kern w:val="0"/>
                <w:sz w:val="24"/>
              </w:rPr>
              <w:t>。</w:t>
            </w:r>
          </w:p>
        </w:tc>
        <w:tc>
          <w:tcPr>
            <w:tcW w:w="2859" w:type="dxa"/>
            <w:vAlign w:val="center"/>
          </w:tcPr>
          <w:p w:rsidR="001F44B4" w:rsidRDefault="001F44B4">
            <w:pPr>
              <w:adjustRightInd w:val="0"/>
              <w:snapToGrid w:val="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755"/>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6.</w:t>
            </w:r>
            <w:r>
              <w:rPr>
                <w:rFonts w:ascii="仿宋_GB2312" w:eastAsia="仿宋_GB2312" w:cs="仿宋_GB2312" w:hint="eastAsia"/>
                <w:color w:val="000000" w:themeColor="text1"/>
                <w:kern w:val="0"/>
                <w:sz w:val="24"/>
              </w:rPr>
              <w:t>市、县（市、区）卫生健康行政部门均落实专人具体负责本辖区托育机构行业管理等工作的</w:t>
            </w:r>
            <w:r>
              <w:rPr>
                <w:rFonts w:ascii="仿宋_GB2312" w:eastAsia="仿宋_GB2312" w:cs="仿宋_GB2312" w:hint="eastAsia"/>
                <w:snapToGrid w:val="0"/>
                <w:color w:val="000000" w:themeColor="text1"/>
                <w:kern w:val="0"/>
                <w:sz w:val="24"/>
              </w:rPr>
              <w:t>得</w:t>
            </w:r>
            <w:r>
              <w:rPr>
                <w:rFonts w:ascii="仿宋_GB2312" w:eastAsia="仿宋_GB2312" w:cs="仿宋_GB2312" w:hint="eastAsia"/>
                <w:snapToGrid w:val="0"/>
                <w:color w:val="000000" w:themeColor="text1"/>
                <w:kern w:val="0"/>
                <w:sz w:val="24"/>
              </w:rPr>
              <w:t>2</w:t>
            </w:r>
            <w:r>
              <w:rPr>
                <w:rFonts w:ascii="仿宋_GB2312" w:eastAsia="仿宋_GB2312" w:cs="仿宋_GB2312" w:hint="eastAsia"/>
                <w:snapToGrid w:val="0"/>
                <w:color w:val="000000" w:themeColor="text1"/>
                <w:kern w:val="0"/>
                <w:sz w:val="24"/>
              </w:rPr>
              <w:t>分，否则不得分</w:t>
            </w:r>
            <w:r>
              <w:rPr>
                <w:rFonts w:ascii="仿宋_GB2312" w:eastAsia="仿宋_GB2312" w:cs="仿宋_GB2312" w:hint="eastAsia"/>
                <w:color w:val="000000" w:themeColor="text1"/>
                <w:kern w:val="0"/>
                <w:sz w:val="24"/>
              </w:rPr>
              <w:t>。</w:t>
            </w:r>
          </w:p>
        </w:tc>
        <w:tc>
          <w:tcPr>
            <w:tcW w:w="2859" w:type="dxa"/>
            <w:vAlign w:val="center"/>
          </w:tcPr>
          <w:p w:rsidR="001F44B4" w:rsidRDefault="001F44B4">
            <w:pPr>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adjustRightInd w:val="0"/>
              <w:snapToGrid w:val="0"/>
              <w:jc w:val="center"/>
              <w:rPr>
                <w:rFonts w:ascii="仿宋_GB2312" w:eastAsia="仿宋_GB2312" w:cs="仿宋_GB2312"/>
                <w:color w:val="000000" w:themeColor="text1"/>
                <w:kern w:val="0"/>
                <w:sz w:val="24"/>
              </w:rPr>
            </w:pPr>
          </w:p>
        </w:tc>
      </w:tr>
      <w:tr w:rsidR="001F44B4">
        <w:trPr>
          <w:trHeight w:val="358"/>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jc w:val="left"/>
              <w:rPr>
                <w:rFonts w:ascii="仿宋_GB2312" w:eastAsia="仿宋_GB2312" w:cs="仿宋_GB2312"/>
                <w:snapToGrid w:val="0"/>
                <w:color w:val="000000" w:themeColor="text1"/>
                <w:kern w:val="0"/>
                <w:sz w:val="24"/>
              </w:rPr>
            </w:pPr>
            <w:r>
              <w:rPr>
                <w:rFonts w:ascii="仿宋_GB2312" w:eastAsia="仿宋_GB2312" w:cs="仿宋_GB2312" w:hint="eastAsia"/>
                <w:color w:val="000000" w:themeColor="text1"/>
                <w:kern w:val="0"/>
                <w:sz w:val="24"/>
              </w:rPr>
              <w:t>7.</w:t>
            </w:r>
            <w:r>
              <w:rPr>
                <w:rFonts w:ascii="仿宋_GB2312" w:eastAsia="仿宋_GB2312" w:cs="仿宋_GB2312" w:hint="eastAsia"/>
                <w:color w:val="000000" w:themeColor="text1"/>
                <w:kern w:val="0"/>
                <w:sz w:val="24"/>
              </w:rPr>
              <w:t>市级卫生健康、发展改革部门联合出台本级《关于创建全国婴幼儿照护服务示范城市的实施方案》，成立相关领导小组，明确相关部门责任，并深入开展创建活动的得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w:t>
            </w:r>
            <w:r>
              <w:rPr>
                <w:rFonts w:ascii="仿宋_GB2312" w:eastAsia="仿宋_GB2312" w:cs="仿宋_GB2312" w:hint="eastAsia"/>
                <w:snapToGrid w:val="0"/>
                <w:color w:val="000000" w:themeColor="text1"/>
                <w:kern w:val="0"/>
                <w:sz w:val="24"/>
              </w:rPr>
              <w:t>，否则不得分。</w:t>
            </w:r>
          </w:p>
        </w:tc>
        <w:tc>
          <w:tcPr>
            <w:tcW w:w="2859" w:type="dxa"/>
            <w:vAlign w:val="center"/>
          </w:tcPr>
          <w:p w:rsidR="001F44B4" w:rsidRDefault="001F44B4">
            <w:pPr>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adjustRightInd w:val="0"/>
              <w:snapToGrid w:val="0"/>
              <w:jc w:val="center"/>
              <w:rPr>
                <w:rFonts w:ascii="仿宋_GB2312" w:eastAsia="仿宋_GB2312" w:cs="仿宋_GB2312"/>
                <w:color w:val="000000" w:themeColor="text1"/>
                <w:kern w:val="0"/>
                <w:sz w:val="24"/>
              </w:rPr>
            </w:pPr>
          </w:p>
        </w:tc>
      </w:tr>
      <w:tr w:rsidR="001F44B4">
        <w:trPr>
          <w:trHeight w:val="1195"/>
          <w:jc w:val="center"/>
        </w:trPr>
        <w:tc>
          <w:tcPr>
            <w:tcW w:w="1174" w:type="dxa"/>
            <w:vMerge w:val="restart"/>
            <w:vAlign w:val="center"/>
          </w:tcPr>
          <w:p w:rsidR="001F44B4" w:rsidRDefault="00091A46">
            <w:pPr>
              <w:widowControl/>
              <w:adjustRightInd w:val="0"/>
              <w:snapToGrid w:val="0"/>
              <w:jc w:val="center"/>
              <w:rPr>
                <w:rFonts w:ascii="仿宋_GB2312" w:eastAsia="仿宋_GB2312" w:cs="仿宋_GB2312"/>
                <w:b/>
                <w:color w:val="000000" w:themeColor="text1"/>
                <w:kern w:val="0"/>
                <w:sz w:val="24"/>
              </w:rPr>
            </w:pPr>
            <w:r>
              <w:rPr>
                <w:rFonts w:ascii="仿宋_GB2312" w:eastAsia="仿宋_GB2312" w:cs="仿宋_GB2312" w:hint="eastAsia"/>
                <w:b/>
                <w:bCs/>
                <w:color w:val="000000" w:themeColor="text1"/>
                <w:kern w:val="0"/>
                <w:sz w:val="24"/>
              </w:rPr>
              <w:lastRenderedPageBreak/>
              <w:t>三、政策体系</w:t>
            </w:r>
          </w:p>
        </w:tc>
        <w:tc>
          <w:tcPr>
            <w:tcW w:w="978" w:type="dxa"/>
            <w:vMerge w:val="restart"/>
            <w:vAlign w:val="center"/>
          </w:tcPr>
          <w:p w:rsidR="001F44B4" w:rsidRDefault="00091A46">
            <w:pPr>
              <w:widowControl/>
              <w:adjustRightInd w:val="0"/>
              <w:snapToGrid w:val="0"/>
              <w:jc w:val="center"/>
              <w:rPr>
                <w:rFonts w:ascii="仿宋_GB2312" w:eastAsia="仿宋_GB2312" w:cs="仿宋_GB2312"/>
                <w:bCs/>
                <w:color w:val="000000" w:themeColor="text1"/>
                <w:kern w:val="0"/>
                <w:sz w:val="24"/>
              </w:rPr>
            </w:pPr>
            <w:r>
              <w:rPr>
                <w:rFonts w:ascii="仿宋_GB2312" w:eastAsia="仿宋_GB2312" w:cs="仿宋_GB2312" w:hint="eastAsia"/>
                <w:bCs/>
                <w:color w:val="000000" w:themeColor="text1"/>
                <w:kern w:val="0"/>
                <w:sz w:val="24"/>
              </w:rPr>
              <w:t>20</w:t>
            </w:r>
          </w:p>
        </w:tc>
        <w:tc>
          <w:tcPr>
            <w:tcW w:w="8136" w:type="dxa"/>
            <w:vAlign w:val="center"/>
          </w:tcPr>
          <w:p w:rsidR="001F44B4" w:rsidRDefault="00091A46">
            <w:pPr>
              <w:adjustRightInd w:val="0"/>
              <w:snapToGrid w:val="0"/>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8.</w:t>
            </w:r>
            <w:r>
              <w:rPr>
                <w:rFonts w:ascii="仿宋_GB2312" w:eastAsia="仿宋_GB2312" w:cs="仿宋_GB2312" w:hint="eastAsia"/>
                <w:color w:val="000000" w:themeColor="text1"/>
                <w:kern w:val="0"/>
                <w:sz w:val="24"/>
              </w:rPr>
              <w:t>将婴幼儿照护服务纳入国民经济和社会发展规划，制定“十四五”托育服务体系建设专项规划或实施方案，明确托育服务体系建设目标、建设任务、资金来源和运营方式等得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w:t>
            </w:r>
            <w:r>
              <w:rPr>
                <w:rFonts w:ascii="仿宋_GB2312" w:eastAsia="仿宋_GB2312" w:cs="仿宋_GB2312" w:hint="eastAsia"/>
                <w:snapToGrid w:val="0"/>
                <w:color w:val="000000" w:themeColor="text1"/>
                <w:kern w:val="0"/>
                <w:sz w:val="24"/>
              </w:rPr>
              <w:t>，否则不得分。</w:t>
            </w:r>
          </w:p>
        </w:tc>
        <w:tc>
          <w:tcPr>
            <w:tcW w:w="2859" w:type="dxa"/>
            <w:vAlign w:val="center"/>
          </w:tcPr>
          <w:p w:rsidR="001F44B4" w:rsidRDefault="001F44B4">
            <w:pPr>
              <w:widowControl/>
              <w:adjustRightInd w:val="0"/>
              <w:snapToGrid w:val="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971"/>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9.</w:t>
            </w:r>
            <w:r>
              <w:rPr>
                <w:rFonts w:ascii="仿宋_GB2312" w:eastAsia="仿宋_GB2312" w:cs="仿宋_GB2312" w:hint="eastAsia"/>
                <w:color w:val="000000" w:themeColor="text1"/>
                <w:kern w:val="0"/>
                <w:sz w:val="24"/>
              </w:rPr>
              <w:t>支持辖区内国有企业利用存量低效用地和闲置物业等开展托育服务，辖区内国有投资平台公司投资建设有托育机构的得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421"/>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10.</w:t>
            </w:r>
            <w:r>
              <w:rPr>
                <w:rFonts w:ascii="仿宋_GB2312" w:eastAsia="仿宋_GB2312" w:cs="仿宋_GB2312" w:hint="eastAsia"/>
                <w:color w:val="000000" w:themeColor="text1"/>
                <w:kern w:val="0"/>
                <w:sz w:val="24"/>
              </w:rPr>
              <w:t>支持将各类房屋和设施用于发展托育，鼓励适当放宽最长租赁期限，国企房屋租赁期限最长放宽到</w:t>
            </w:r>
            <w:r>
              <w:rPr>
                <w:rFonts w:ascii="仿宋_GB2312" w:eastAsia="仿宋_GB2312" w:cs="仿宋_GB2312" w:hint="eastAsia"/>
                <w:color w:val="000000" w:themeColor="text1"/>
                <w:kern w:val="0"/>
                <w:sz w:val="24"/>
              </w:rPr>
              <w:t>20</w:t>
            </w:r>
            <w:r>
              <w:rPr>
                <w:rFonts w:ascii="仿宋_GB2312" w:eastAsia="仿宋_GB2312" w:cs="仿宋_GB2312" w:hint="eastAsia"/>
                <w:color w:val="000000" w:themeColor="text1"/>
                <w:kern w:val="0"/>
                <w:sz w:val="24"/>
              </w:rPr>
              <w:t>年的得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分，否则不得分。有非独立场所按照相关安全规定标准改造建设托育点并通过验收且无需变更土地和房屋性质的得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693"/>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11.</w:t>
            </w:r>
            <w:r>
              <w:rPr>
                <w:rFonts w:ascii="仿宋_GB2312" w:eastAsia="仿宋_GB2312" w:cs="仿宋_GB2312" w:hint="eastAsia"/>
                <w:color w:val="000000" w:themeColor="text1"/>
                <w:kern w:val="0"/>
                <w:sz w:val="24"/>
              </w:rPr>
              <w:t>市本级将婴幼儿照护服务纳入政府购买服务目录的得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380"/>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12.</w:t>
            </w:r>
            <w:r>
              <w:rPr>
                <w:rFonts w:ascii="仿宋_GB2312" w:eastAsia="仿宋_GB2312" w:cs="仿宋_GB2312" w:hint="eastAsia"/>
                <w:color w:val="000000" w:themeColor="text1"/>
                <w:kern w:val="0"/>
                <w:sz w:val="24"/>
              </w:rPr>
              <w:t>落实国家支持婴幼儿照护服务发展的有关税费优惠政策的得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分，否则不得分。落实托育机构用水、用电，执行居民生活</w:t>
            </w:r>
            <w:r>
              <w:rPr>
                <w:rFonts w:ascii="仿宋_GB2312" w:eastAsia="仿宋_GB2312" w:cs="仿宋_GB2312"/>
                <w:color w:val="000000" w:themeColor="text1"/>
                <w:kern w:val="0"/>
                <w:sz w:val="24"/>
              </w:rPr>
              <w:t>水价、</w:t>
            </w:r>
            <w:r>
              <w:rPr>
                <w:rFonts w:ascii="仿宋_GB2312" w:eastAsia="仿宋_GB2312" w:cs="仿宋_GB2312" w:hint="eastAsia"/>
                <w:color w:val="000000" w:themeColor="text1"/>
                <w:kern w:val="0"/>
                <w:sz w:val="24"/>
              </w:rPr>
              <w:t>电价政策的得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分，否则不得分。对吸纳符合条件劳动者的托育机构按规定给予社保补贴的得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832"/>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13.</w:t>
            </w:r>
            <w:r>
              <w:rPr>
                <w:rFonts w:ascii="仿宋_GB2312" w:eastAsia="仿宋_GB2312" w:cs="仿宋_GB2312" w:hint="eastAsia"/>
                <w:color w:val="000000" w:themeColor="text1"/>
                <w:kern w:val="0"/>
                <w:sz w:val="24"/>
              </w:rPr>
              <w:t>支持属地高等院校和职业院校（含技工院校）开设婴幼儿发展与健康管理、婴幼儿保育等学科建设，培养托育服务专业人才的得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018"/>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14.</w:t>
            </w:r>
            <w:r>
              <w:rPr>
                <w:rFonts w:ascii="仿宋_GB2312" w:eastAsia="仿宋_GB2312" w:cs="仿宋_GB2312" w:hint="eastAsia"/>
                <w:color w:val="000000" w:themeColor="text1"/>
                <w:kern w:val="0"/>
                <w:sz w:val="24"/>
              </w:rPr>
              <w:t>支持保险机构开发相关责任险及托育机构运营相关保险的得</w:t>
            </w:r>
            <w:r>
              <w:rPr>
                <w:rFonts w:ascii="仿宋_GB2312" w:eastAsia="仿宋_GB2312" w:cs="仿宋_GB2312" w:hint="eastAsia"/>
                <w:color w:val="000000" w:themeColor="text1"/>
                <w:kern w:val="0"/>
                <w:sz w:val="24"/>
              </w:rPr>
              <w:t>3</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686"/>
          <w:jc w:val="center"/>
        </w:trPr>
        <w:tc>
          <w:tcPr>
            <w:tcW w:w="1174" w:type="dxa"/>
            <w:vMerge w:val="restart"/>
            <w:vAlign w:val="center"/>
          </w:tcPr>
          <w:p w:rsidR="001F44B4" w:rsidRDefault="00091A46">
            <w:pPr>
              <w:widowControl/>
              <w:adjustRightInd w:val="0"/>
              <w:snapToGrid w:val="0"/>
              <w:jc w:val="center"/>
              <w:rPr>
                <w:rFonts w:ascii="仿宋_GB2312" w:eastAsia="仿宋_GB2312" w:cs="仿宋_GB2312"/>
                <w:b/>
                <w:bCs/>
                <w:color w:val="000000" w:themeColor="text1"/>
                <w:kern w:val="0"/>
                <w:sz w:val="24"/>
              </w:rPr>
            </w:pPr>
            <w:r>
              <w:rPr>
                <w:rFonts w:ascii="仿宋_GB2312" w:eastAsia="仿宋_GB2312" w:cs="仿宋_GB2312" w:hint="eastAsia"/>
                <w:b/>
                <w:bCs/>
                <w:color w:val="000000" w:themeColor="text1"/>
                <w:kern w:val="0"/>
                <w:sz w:val="24"/>
              </w:rPr>
              <w:lastRenderedPageBreak/>
              <w:t>四、服务供给</w:t>
            </w:r>
          </w:p>
        </w:tc>
        <w:tc>
          <w:tcPr>
            <w:tcW w:w="978" w:type="dxa"/>
            <w:vMerge w:val="restart"/>
            <w:vAlign w:val="center"/>
          </w:tcPr>
          <w:p w:rsidR="001F44B4" w:rsidRDefault="00091A46">
            <w:pPr>
              <w:widowControl/>
              <w:adjustRightInd w:val="0"/>
              <w:snapToGrid w:val="0"/>
              <w:jc w:val="center"/>
              <w:rPr>
                <w:rFonts w:ascii="仿宋_GB2312" w:eastAsia="仿宋_GB2312" w:cs="仿宋_GB2312"/>
                <w:bCs/>
                <w:color w:val="000000" w:themeColor="text1"/>
                <w:kern w:val="0"/>
                <w:sz w:val="24"/>
              </w:rPr>
            </w:pPr>
            <w:r>
              <w:rPr>
                <w:rFonts w:ascii="仿宋_GB2312" w:eastAsia="仿宋_GB2312" w:cs="仿宋_GB2312" w:hint="eastAsia"/>
                <w:bCs/>
                <w:color w:val="000000" w:themeColor="text1"/>
                <w:kern w:val="0"/>
                <w:sz w:val="24"/>
              </w:rPr>
              <w:t>20</w:t>
            </w:r>
          </w:p>
        </w:tc>
        <w:tc>
          <w:tcPr>
            <w:tcW w:w="8136" w:type="dxa"/>
            <w:vAlign w:val="center"/>
          </w:tcPr>
          <w:p w:rsidR="001F44B4" w:rsidRDefault="00091A46">
            <w:pPr>
              <w:tabs>
                <w:tab w:val="left" w:pos="0"/>
              </w:tabs>
              <w:adjustRightInd w:val="0"/>
              <w:snapToGrid w:val="0"/>
              <w:rPr>
                <w:rFonts w:ascii="仿宋_GB2312" w:eastAsia="仿宋_GB2312" w:cs="仿宋_GB2312"/>
                <w:snapToGrid w:val="0"/>
                <w:color w:val="000000" w:themeColor="text1"/>
                <w:kern w:val="0"/>
                <w:sz w:val="24"/>
              </w:rPr>
            </w:pPr>
            <w:r>
              <w:rPr>
                <w:rFonts w:ascii="仿宋_GB2312" w:eastAsia="仿宋_GB2312" w:cs="仿宋_GB2312" w:hint="eastAsia"/>
                <w:color w:val="000000" w:themeColor="text1"/>
                <w:kern w:val="0"/>
                <w:sz w:val="24"/>
              </w:rPr>
              <w:t>15.</w:t>
            </w:r>
            <w:r>
              <w:rPr>
                <w:rFonts w:ascii="仿宋_GB2312" w:eastAsia="仿宋_GB2312" w:cs="仿宋_GB2312" w:hint="eastAsia"/>
                <w:color w:val="000000" w:themeColor="text1"/>
                <w:kern w:val="0"/>
                <w:sz w:val="24"/>
              </w:rPr>
              <w:t>全面落实产假、配偶陪产假等政策的得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261"/>
          <w:jc w:val="center"/>
        </w:trPr>
        <w:tc>
          <w:tcPr>
            <w:tcW w:w="1174" w:type="dxa"/>
            <w:vMerge/>
            <w:vAlign w:val="center"/>
          </w:tcPr>
          <w:p w:rsidR="001F44B4" w:rsidRDefault="001F44B4">
            <w:pPr>
              <w:widowControl/>
              <w:adjustRightInd w:val="0"/>
              <w:snapToGrid w:val="0"/>
              <w:jc w:val="right"/>
              <w:rPr>
                <w:rFonts w:ascii="仿宋_GB2312" w:eastAsia="仿宋_GB2312" w:cs="仿宋_GB2312"/>
                <w:b/>
                <w:bCs/>
                <w:color w:val="000000" w:themeColor="text1"/>
                <w:kern w:val="0"/>
                <w:sz w:val="24"/>
              </w:rPr>
            </w:pPr>
          </w:p>
        </w:tc>
        <w:tc>
          <w:tcPr>
            <w:tcW w:w="978" w:type="dxa"/>
            <w:vMerge/>
            <w:vAlign w:val="center"/>
          </w:tcPr>
          <w:p w:rsidR="001F44B4" w:rsidRDefault="001F44B4">
            <w:pPr>
              <w:widowControl/>
              <w:adjustRightInd w:val="0"/>
              <w:snapToGrid w:val="0"/>
              <w:jc w:val="center"/>
              <w:rPr>
                <w:rFonts w:ascii="仿宋_GB2312" w:eastAsia="仿宋_GB2312" w:cs="仿宋_GB2312"/>
                <w:bCs/>
                <w:color w:val="000000" w:themeColor="text1"/>
                <w:kern w:val="0"/>
                <w:sz w:val="24"/>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16.</w:t>
            </w:r>
            <w:r>
              <w:rPr>
                <w:rFonts w:ascii="仿宋_GB2312" w:eastAsia="仿宋_GB2312" w:cs="仿宋_GB2312" w:hint="eastAsia"/>
                <w:color w:val="000000" w:themeColor="text1"/>
                <w:kern w:val="0"/>
                <w:sz w:val="24"/>
              </w:rPr>
              <w:t>将婴幼儿照护纳入城乡社区服务范围，发挥基层医疗机构和妇联的优势作用，开展托育、育儿指导和养护培训等服务，加强婴幼儿身心健康、社会交往、认知水平等方面早期发展干预的得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w:t>
            </w:r>
            <w:r>
              <w:rPr>
                <w:rFonts w:ascii="仿宋_GB2312" w:eastAsia="仿宋_GB2312" w:cs="仿宋_GB2312" w:hint="eastAsia"/>
                <w:snapToGrid w:val="0"/>
                <w:color w:val="000000" w:themeColor="text1"/>
                <w:kern w:val="0"/>
                <w:sz w:val="24"/>
              </w:rPr>
              <w:t>，否则不得分。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404"/>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17.</w:t>
            </w:r>
            <w:r>
              <w:rPr>
                <w:rFonts w:ascii="仿宋_GB2312" w:eastAsia="仿宋_GB2312" w:cs="仿宋_GB2312" w:hint="eastAsia"/>
                <w:color w:val="000000" w:themeColor="text1"/>
                <w:kern w:val="0"/>
                <w:sz w:val="24"/>
              </w:rPr>
              <w:t>新建城镇居住小区按每百户不低于</w:t>
            </w:r>
            <w:r>
              <w:rPr>
                <w:rFonts w:ascii="仿宋_GB2312" w:eastAsia="仿宋_GB2312" w:cs="仿宋_GB2312" w:hint="eastAsia"/>
                <w:color w:val="000000" w:themeColor="text1"/>
                <w:kern w:val="0"/>
                <w:sz w:val="24"/>
              </w:rPr>
              <w:t>20</w:t>
            </w:r>
            <w:r>
              <w:rPr>
                <w:rFonts w:ascii="仿宋_GB2312" w:eastAsia="仿宋_GB2312" w:cs="仿宋_GB2312" w:hint="eastAsia"/>
                <w:color w:val="000000" w:themeColor="text1"/>
                <w:kern w:val="0"/>
                <w:sz w:val="24"/>
              </w:rPr>
              <w:t>平方米的标准配套建设婴幼儿照护服务场地，将社区托育服务设施建设纳入城乡社区配套用房建设范围的得</w:t>
            </w:r>
            <w:r>
              <w:rPr>
                <w:rFonts w:ascii="仿宋_GB2312" w:eastAsia="仿宋_GB2312" w:cs="仿宋_GB2312" w:hint="eastAsia"/>
                <w:color w:val="000000" w:themeColor="text1"/>
                <w:kern w:val="0"/>
                <w:sz w:val="24"/>
              </w:rPr>
              <w:t>3</w:t>
            </w:r>
            <w:r>
              <w:rPr>
                <w:rFonts w:ascii="仿宋_GB2312" w:eastAsia="仿宋_GB2312" w:cs="仿宋_GB2312" w:hint="eastAsia"/>
                <w:color w:val="000000" w:themeColor="text1"/>
                <w:kern w:val="0"/>
                <w:sz w:val="24"/>
              </w:rPr>
              <w:t>分，否则不得分；全面落实新建住宅配套托育服务设施“四同步”制度的得</w:t>
            </w:r>
            <w:r>
              <w:rPr>
                <w:rFonts w:ascii="仿宋_GB2312" w:eastAsia="仿宋_GB2312" w:cs="仿宋_GB2312" w:hint="eastAsia"/>
                <w:color w:val="000000" w:themeColor="text1"/>
                <w:kern w:val="0"/>
                <w:sz w:val="24"/>
              </w:rPr>
              <w:t>3</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791"/>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18.</w:t>
            </w:r>
            <w:r>
              <w:rPr>
                <w:rFonts w:ascii="仿宋_GB2312" w:eastAsia="仿宋_GB2312" w:cs="仿宋_GB2312" w:hint="eastAsia"/>
                <w:color w:val="000000" w:themeColor="text1"/>
                <w:kern w:val="0"/>
                <w:sz w:val="24"/>
              </w:rPr>
              <w:t>在老城区和已建成居住区改造工程中，通过购置、置换、租赁等方式，按每百户不低于</w:t>
            </w:r>
            <w:r>
              <w:rPr>
                <w:rFonts w:ascii="仿宋_GB2312" w:eastAsia="仿宋_GB2312" w:cs="仿宋_GB2312" w:hint="eastAsia"/>
                <w:color w:val="000000" w:themeColor="text1"/>
                <w:kern w:val="0"/>
                <w:sz w:val="24"/>
              </w:rPr>
              <w:t>15</w:t>
            </w:r>
            <w:r>
              <w:rPr>
                <w:rFonts w:ascii="仿宋_GB2312" w:eastAsia="仿宋_GB2312" w:cs="仿宋_GB2312" w:hint="eastAsia"/>
                <w:color w:val="000000" w:themeColor="text1"/>
                <w:kern w:val="0"/>
                <w:sz w:val="24"/>
              </w:rPr>
              <w:t>平方米的标准配置托育服务设施的得</w:t>
            </w:r>
            <w:r>
              <w:rPr>
                <w:rFonts w:ascii="仿宋_GB2312" w:eastAsia="仿宋_GB2312" w:cs="仿宋_GB2312" w:hint="eastAsia"/>
                <w:color w:val="000000" w:themeColor="text1"/>
                <w:kern w:val="0"/>
                <w:sz w:val="24"/>
              </w:rPr>
              <w:t>3</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024"/>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19.</w:t>
            </w:r>
            <w:r>
              <w:rPr>
                <w:rFonts w:ascii="仿宋_GB2312" w:eastAsia="仿宋_GB2312" w:cs="仿宋_GB2312" w:hint="eastAsia"/>
                <w:color w:val="000000" w:themeColor="text1"/>
                <w:kern w:val="0"/>
                <w:sz w:val="24"/>
              </w:rPr>
              <w:t>支持企事业单位、社会组织或个人举办一批规范化、专业化、集团化的托育服务机构，重点办在社区、办在学校、办在园区、办在医院等女职工密集的地方得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840"/>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lang w:val="zh-CN"/>
              </w:rPr>
              <w:t>20.</w:t>
            </w:r>
            <w:r>
              <w:rPr>
                <w:rFonts w:ascii="仿宋_GB2312" w:eastAsia="仿宋_GB2312" w:cs="仿宋_GB2312" w:hint="eastAsia"/>
                <w:color w:val="000000" w:themeColor="text1"/>
                <w:kern w:val="0"/>
                <w:sz w:val="24"/>
                <w:lang w:val="zh-CN"/>
              </w:rPr>
              <w:t>积极推进托幼一体化建设，支持本地幼儿园开设托班的得</w:t>
            </w:r>
            <w:r>
              <w:rPr>
                <w:rFonts w:ascii="仿宋_GB2312" w:eastAsia="仿宋_GB2312" w:cs="仿宋_GB2312" w:hint="eastAsia"/>
                <w:color w:val="000000" w:themeColor="text1"/>
                <w:kern w:val="0"/>
                <w:sz w:val="24"/>
                <w:lang w:val="zh-CN"/>
              </w:rPr>
              <w:t>2</w:t>
            </w:r>
            <w:r>
              <w:rPr>
                <w:rFonts w:ascii="仿宋_GB2312" w:eastAsia="仿宋_GB2312" w:cs="仿宋_GB2312" w:hint="eastAsia"/>
                <w:color w:val="000000" w:themeColor="text1"/>
                <w:kern w:val="0"/>
                <w:sz w:val="24"/>
                <w:lang w:val="zh-CN"/>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52"/>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21.</w:t>
            </w:r>
            <w:r>
              <w:rPr>
                <w:rFonts w:ascii="仿宋_GB2312" w:eastAsia="仿宋_GB2312" w:cs="仿宋_GB2312" w:hint="eastAsia"/>
                <w:color w:val="000000" w:themeColor="text1"/>
                <w:kern w:val="0"/>
                <w:sz w:val="24"/>
              </w:rPr>
              <w:t>积极争取本年度普惠托育专项行动中央预算内资金，获得支持的托育机构年内完成建设或改造，辖区内有</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家以上通过备案并投入运营得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551"/>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lang w:val="zh-CN"/>
              </w:rPr>
            </w:pPr>
            <w:r>
              <w:rPr>
                <w:rFonts w:ascii="仿宋_GB2312" w:eastAsia="仿宋_GB2312" w:cs="仿宋_GB2312" w:hint="eastAsia"/>
                <w:color w:val="000000" w:themeColor="text1"/>
                <w:kern w:val="0"/>
                <w:sz w:val="24"/>
              </w:rPr>
              <w:t>22.</w:t>
            </w:r>
            <w:r>
              <w:rPr>
                <w:rFonts w:ascii="仿宋_GB2312" w:eastAsia="仿宋_GB2312" w:cs="仿宋_GB2312" w:hint="eastAsia"/>
                <w:color w:val="000000" w:themeColor="text1"/>
                <w:kern w:val="0"/>
                <w:sz w:val="24"/>
                <w:lang w:val="zh-CN"/>
              </w:rPr>
              <w:t>婴幼儿入托率高于全区平均水平得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r>
              <w:rPr>
                <w:rFonts w:ascii="仿宋_GB2312" w:eastAsia="仿宋_GB2312" w:cs="仿宋_GB2312" w:hint="eastAsia"/>
                <w:color w:val="000000" w:themeColor="text1"/>
                <w:kern w:val="0"/>
                <w:sz w:val="24"/>
                <w:lang w:val="zh-CN"/>
              </w:rPr>
              <w:t>。</w:t>
            </w:r>
          </w:p>
        </w:tc>
        <w:tc>
          <w:tcPr>
            <w:tcW w:w="2859" w:type="dxa"/>
            <w:vAlign w:val="center"/>
          </w:tcPr>
          <w:p w:rsidR="001F44B4" w:rsidRDefault="001F44B4">
            <w:pPr>
              <w:widowControl/>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111"/>
          <w:jc w:val="center"/>
        </w:trPr>
        <w:tc>
          <w:tcPr>
            <w:tcW w:w="1174" w:type="dxa"/>
            <w:vMerge w:val="restart"/>
            <w:vAlign w:val="center"/>
          </w:tcPr>
          <w:p w:rsidR="001F44B4" w:rsidRDefault="00091A46">
            <w:pPr>
              <w:widowControl/>
              <w:adjustRightInd w:val="0"/>
              <w:snapToGrid w:val="0"/>
              <w:jc w:val="center"/>
              <w:rPr>
                <w:rFonts w:ascii="仿宋_GB2312" w:eastAsia="仿宋_GB2312" w:cs="仿宋_GB2312"/>
                <w:b/>
                <w:bCs/>
                <w:color w:val="000000" w:themeColor="text1"/>
                <w:kern w:val="0"/>
                <w:sz w:val="24"/>
              </w:rPr>
            </w:pPr>
            <w:r>
              <w:rPr>
                <w:rFonts w:ascii="仿宋_GB2312" w:eastAsia="仿宋_GB2312" w:cs="仿宋_GB2312" w:hint="eastAsia"/>
                <w:b/>
                <w:bCs/>
                <w:color w:val="000000" w:themeColor="text1"/>
                <w:kern w:val="0"/>
                <w:sz w:val="24"/>
              </w:rPr>
              <w:lastRenderedPageBreak/>
              <w:t>五、创新</w:t>
            </w:r>
          </w:p>
          <w:p w:rsidR="001F44B4" w:rsidRDefault="00091A46">
            <w:pPr>
              <w:jc w:val="center"/>
              <w:rPr>
                <w:color w:val="000000" w:themeColor="text1"/>
              </w:rPr>
            </w:pPr>
            <w:r>
              <w:rPr>
                <w:rFonts w:ascii="仿宋_GB2312" w:eastAsia="仿宋_GB2312" w:cs="仿宋_GB2312" w:hint="eastAsia"/>
                <w:b/>
                <w:bCs/>
                <w:color w:val="000000" w:themeColor="text1"/>
                <w:kern w:val="0"/>
                <w:sz w:val="24"/>
              </w:rPr>
              <w:t>融合</w:t>
            </w:r>
          </w:p>
        </w:tc>
        <w:tc>
          <w:tcPr>
            <w:tcW w:w="978" w:type="dxa"/>
            <w:vMerge w:val="restart"/>
            <w:vAlign w:val="center"/>
          </w:tcPr>
          <w:p w:rsidR="001F44B4" w:rsidRDefault="00091A46">
            <w:pPr>
              <w:jc w:val="center"/>
              <w:rPr>
                <w:color w:val="000000" w:themeColor="text1"/>
              </w:rPr>
            </w:pPr>
            <w:r>
              <w:rPr>
                <w:rFonts w:ascii="仿宋_GB2312" w:eastAsia="仿宋_GB2312" w:cs="仿宋_GB2312" w:hint="eastAsia"/>
                <w:bCs/>
                <w:color w:val="000000" w:themeColor="text1"/>
                <w:kern w:val="0"/>
                <w:sz w:val="24"/>
              </w:rPr>
              <w:t>14</w:t>
            </w: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23.</w:t>
            </w:r>
            <w:r>
              <w:rPr>
                <w:rFonts w:ascii="仿宋_GB2312" w:eastAsia="仿宋_GB2312" w:cs="仿宋_GB2312" w:hint="eastAsia"/>
                <w:color w:val="000000" w:themeColor="text1"/>
                <w:kern w:val="0"/>
                <w:sz w:val="24"/>
              </w:rPr>
              <w:t>以促进婴幼儿身心健康和安全为目标，探索“医养育结合”服务模式，群众满意度高，辖区内至少有</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家机构其做法可推广、可复制的得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254"/>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lang w:val="zh-CN"/>
              </w:rPr>
            </w:pPr>
            <w:r>
              <w:rPr>
                <w:rFonts w:ascii="仿宋_GB2312" w:eastAsia="仿宋_GB2312" w:cs="仿宋_GB2312" w:hint="eastAsia"/>
                <w:color w:val="000000" w:themeColor="text1"/>
                <w:kern w:val="0"/>
                <w:sz w:val="24"/>
                <w:lang w:val="zh-CN"/>
              </w:rPr>
              <w:t>24.</w:t>
            </w:r>
            <w:r>
              <w:rPr>
                <w:rFonts w:ascii="仿宋_GB2312" w:eastAsia="仿宋_GB2312" w:cs="仿宋_GB2312" w:hint="eastAsia"/>
                <w:color w:val="000000" w:themeColor="text1"/>
                <w:kern w:val="0"/>
                <w:sz w:val="24"/>
                <w:lang w:val="zh-CN"/>
              </w:rPr>
              <w:t>积极开发科学育儿公益课程、父母课堂等，能提供互联网直播互动式家庭育儿服务的得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w:t>
            </w:r>
            <w:r>
              <w:rPr>
                <w:rFonts w:ascii="仿宋_GB2312" w:eastAsia="仿宋_GB2312" w:cs="仿宋_GB2312" w:hint="eastAsia"/>
                <w:color w:val="000000" w:themeColor="text1"/>
                <w:kern w:val="0"/>
                <w:sz w:val="24"/>
                <w:lang w:val="zh-CN"/>
              </w:rPr>
              <w:t>。</w:t>
            </w:r>
          </w:p>
        </w:tc>
        <w:tc>
          <w:tcPr>
            <w:tcW w:w="2859" w:type="dxa"/>
            <w:vAlign w:val="center"/>
          </w:tcPr>
          <w:p w:rsidR="001F44B4" w:rsidRDefault="001F44B4">
            <w:pPr>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226"/>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25.</w:t>
            </w:r>
            <w:r>
              <w:rPr>
                <w:rFonts w:ascii="仿宋_GB2312" w:eastAsia="仿宋_GB2312" w:cs="仿宋_GB2312" w:hint="eastAsia"/>
                <w:color w:val="000000" w:themeColor="text1"/>
                <w:kern w:val="0"/>
                <w:sz w:val="24"/>
              </w:rPr>
              <w:t>市本级制定有托育机构卫生评价标准，把托育机构卫生健康管理的各项要求融入到妇幼、疾控、卫生监督等日常工作中，落实业务指导和监督责任的得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130"/>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26.</w:t>
            </w:r>
            <w:r>
              <w:rPr>
                <w:rFonts w:ascii="仿宋_GB2312" w:eastAsia="仿宋_GB2312" w:cs="仿宋_GB2312" w:hint="eastAsia"/>
                <w:color w:val="000000" w:themeColor="text1"/>
                <w:kern w:val="0"/>
                <w:sz w:val="24"/>
              </w:rPr>
              <w:t>市本级制定有示范性托育机构评估办法，并评选一批具有示范效应的市级示范性托育机构的得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分，否则不得分。辖区内至少有</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家机构获得广西示范性托育机构的得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977"/>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27.</w:t>
            </w:r>
            <w:r>
              <w:rPr>
                <w:rFonts w:ascii="仿宋_GB2312" w:eastAsia="仿宋_GB2312" w:cs="仿宋_GB2312" w:hint="eastAsia"/>
                <w:color w:val="000000" w:themeColor="text1"/>
                <w:kern w:val="0"/>
                <w:sz w:val="24"/>
              </w:rPr>
              <w:t>加强公共场所母婴设施建设和改造，应配置母婴设施的公共场所建成标准化的母婴室，</w:t>
            </w:r>
            <w:r>
              <w:rPr>
                <w:rFonts w:ascii="仿宋_GB2312" w:eastAsia="仿宋_GB2312" w:hAnsi="仿宋_GB2312" w:cs="仿宋_GB2312" w:hint="eastAsia"/>
                <w:color w:val="000000" w:themeColor="text1"/>
                <w:kern w:val="0"/>
                <w:sz w:val="24"/>
              </w:rPr>
              <w:t>配置率达</w:t>
            </w:r>
            <w:r>
              <w:rPr>
                <w:rFonts w:ascii="仿宋_GB2312" w:eastAsia="仿宋_GB2312" w:hAnsi="仿宋_GB2312" w:cs="仿宋_GB2312" w:hint="eastAsia"/>
                <w:color w:val="000000" w:themeColor="text1"/>
                <w:kern w:val="0"/>
                <w:sz w:val="24"/>
              </w:rPr>
              <w:t>100%</w:t>
            </w:r>
            <w:r>
              <w:rPr>
                <w:rFonts w:ascii="仿宋_GB2312" w:eastAsia="仿宋_GB2312" w:hAnsi="仿宋_GB2312" w:cs="仿宋_GB2312" w:hint="eastAsia"/>
                <w:color w:val="000000" w:themeColor="text1"/>
                <w:kern w:val="0"/>
                <w:sz w:val="24"/>
              </w:rPr>
              <w:t>的得</w:t>
            </w:r>
            <w:r>
              <w:rPr>
                <w:rFonts w:ascii="仿宋_GB2312" w:eastAsia="仿宋_GB2312" w:hAnsi="仿宋_GB2312" w:cs="仿宋_GB2312" w:hint="eastAsia"/>
                <w:color w:val="000000" w:themeColor="text1"/>
                <w:kern w:val="0"/>
                <w:sz w:val="24"/>
              </w:rPr>
              <w:t>2</w:t>
            </w:r>
            <w:r>
              <w:rPr>
                <w:rFonts w:ascii="仿宋_GB2312" w:eastAsia="仿宋_GB2312" w:hAnsi="仿宋_GB2312" w:cs="仿宋_GB2312" w:hint="eastAsia"/>
                <w:color w:val="000000" w:themeColor="text1"/>
                <w:kern w:val="0"/>
                <w:sz w:val="24"/>
              </w:rPr>
              <w:t>分，否则不得分。</w:t>
            </w:r>
          </w:p>
        </w:tc>
        <w:tc>
          <w:tcPr>
            <w:tcW w:w="2859" w:type="dxa"/>
            <w:vAlign w:val="center"/>
          </w:tcPr>
          <w:p w:rsidR="001F44B4" w:rsidRDefault="001F44B4">
            <w:pPr>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557"/>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28.</w:t>
            </w:r>
            <w:r>
              <w:rPr>
                <w:rFonts w:ascii="仿宋_GB2312" w:eastAsia="仿宋_GB2312" w:cs="仿宋_GB2312" w:hint="eastAsia"/>
                <w:color w:val="000000" w:themeColor="text1"/>
                <w:kern w:val="0"/>
                <w:sz w:val="24"/>
              </w:rPr>
              <w:t>推进托育制造产业发展，培育托育服务、乳粉奶业、动画设计与制作等行业品牌的得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分，否则不得分。利用互联网、大数据、物联网、人工智能等技术，研发应用婴幼儿照护服务信息管理系统</w:t>
            </w:r>
            <w:r>
              <w:rPr>
                <w:rFonts w:ascii="仿宋_GB2312" w:eastAsia="仿宋_GB2312" w:cs="仿宋_GB2312" w:hint="eastAsia"/>
                <w:color w:val="000000" w:themeColor="text1"/>
                <w:kern w:val="0"/>
                <w:sz w:val="24"/>
              </w:rPr>
              <w:t xml:space="preserve">, </w:t>
            </w:r>
            <w:r>
              <w:rPr>
                <w:rFonts w:ascii="仿宋_GB2312" w:eastAsia="仿宋_GB2312" w:cs="仿宋_GB2312" w:hint="eastAsia"/>
                <w:color w:val="000000" w:themeColor="text1"/>
                <w:kern w:val="0"/>
                <w:sz w:val="24"/>
              </w:rPr>
              <w:t>推进“互联网</w:t>
            </w:r>
            <w:r>
              <w:rPr>
                <w:rFonts w:ascii="仿宋_GB2312" w:eastAsia="仿宋_GB2312" w:cs="仿宋_GB2312" w:hint="eastAsia"/>
                <w:color w:val="000000" w:themeColor="text1"/>
                <w:kern w:val="0"/>
                <w:sz w:val="24"/>
              </w:rPr>
              <w:t>+</w:t>
            </w:r>
            <w:r>
              <w:rPr>
                <w:rFonts w:ascii="仿宋_GB2312" w:eastAsia="仿宋_GB2312" w:cs="仿宋_GB2312" w:hint="eastAsia"/>
                <w:color w:val="000000" w:themeColor="text1"/>
                <w:kern w:val="0"/>
                <w:sz w:val="24"/>
              </w:rPr>
              <w:t>托育服务”的得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adjustRightInd w:val="0"/>
              <w:snapToGrid w:val="0"/>
              <w:ind w:firstLineChars="200" w:firstLine="480"/>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395"/>
          <w:jc w:val="center"/>
        </w:trPr>
        <w:tc>
          <w:tcPr>
            <w:tcW w:w="1174" w:type="dxa"/>
            <w:vMerge w:val="restart"/>
            <w:vAlign w:val="center"/>
          </w:tcPr>
          <w:p w:rsidR="001F44B4" w:rsidRDefault="00091A46">
            <w:pPr>
              <w:adjustRightInd w:val="0"/>
              <w:snapToGrid w:val="0"/>
              <w:jc w:val="center"/>
              <w:rPr>
                <w:rFonts w:ascii="仿宋_GB2312" w:eastAsia="仿宋_GB2312" w:cs="仿宋_GB2312"/>
                <w:b/>
                <w:color w:val="000000" w:themeColor="text1"/>
                <w:kern w:val="0"/>
                <w:sz w:val="24"/>
              </w:rPr>
            </w:pPr>
            <w:r>
              <w:rPr>
                <w:rFonts w:ascii="仿宋_GB2312" w:eastAsia="仿宋_GB2312" w:cs="仿宋_GB2312" w:hint="eastAsia"/>
                <w:b/>
                <w:color w:val="000000" w:themeColor="text1"/>
                <w:kern w:val="0"/>
                <w:sz w:val="24"/>
              </w:rPr>
              <w:lastRenderedPageBreak/>
              <w:t>六、监管服务</w:t>
            </w:r>
          </w:p>
        </w:tc>
        <w:tc>
          <w:tcPr>
            <w:tcW w:w="978" w:type="dxa"/>
            <w:vMerge w:val="restart"/>
            <w:vAlign w:val="center"/>
          </w:tcPr>
          <w:p w:rsidR="001F44B4" w:rsidRDefault="00091A46">
            <w:pPr>
              <w:widowControl/>
              <w:adjustRightInd w:val="0"/>
              <w:snapToGrid w:val="0"/>
              <w:jc w:val="center"/>
              <w:rPr>
                <w:rFonts w:ascii="仿宋_GB2312" w:eastAsia="仿宋_GB2312" w:cs="仿宋_GB2312"/>
                <w:bCs/>
                <w:color w:val="000000" w:themeColor="text1"/>
                <w:kern w:val="0"/>
                <w:sz w:val="24"/>
              </w:rPr>
            </w:pPr>
            <w:r>
              <w:rPr>
                <w:rFonts w:ascii="仿宋_GB2312" w:eastAsia="仿宋_GB2312" w:cs="仿宋_GB2312" w:hint="eastAsia"/>
                <w:bCs/>
                <w:color w:val="000000" w:themeColor="text1"/>
                <w:kern w:val="0"/>
                <w:sz w:val="24"/>
              </w:rPr>
              <w:t>12</w:t>
            </w:r>
          </w:p>
        </w:tc>
        <w:tc>
          <w:tcPr>
            <w:tcW w:w="8136" w:type="dxa"/>
            <w:vAlign w:val="center"/>
          </w:tcPr>
          <w:p w:rsidR="001F44B4" w:rsidRDefault="00091A46">
            <w:pPr>
              <w:adjustRightInd w:val="0"/>
              <w:snapToGrid w:val="0"/>
              <w:spacing w:line="300" w:lineRule="exac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29.</w:t>
            </w:r>
            <w:r>
              <w:rPr>
                <w:rFonts w:ascii="仿宋_GB2312" w:eastAsia="仿宋_GB2312" w:cs="仿宋_GB2312" w:hint="eastAsia"/>
                <w:color w:val="000000" w:themeColor="text1"/>
                <w:kern w:val="0"/>
                <w:sz w:val="24"/>
              </w:rPr>
              <w:t>建立市、县联动的托育服务综合监管制度，推进托育服务政务信息公开和机构信息公开的得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分，否则不得分。落实卫生健康部门和各有关部门在制度建设、行业规划、行政执法等方面的监管责任，定期对托育机构开展监督检查，积极查处托育机构违法违规行为的得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r w:rsidR="001F44B4">
        <w:trPr>
          <w:trHeight w:val="1541"/>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widowControl/>
              <w:adjustRightInd w:val="0"/>
              <w:snapToGrid w:val="0"/>
              <w:spacing w:line="300" w:lineRule="exact"/>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30.</w:t>
            </w:r>
            <w:r>
              <w:rPr>
                <w:rFonts w:ascii="仿宋_GB2312" w:eastAsia="仿宋_GB2312" w:cs="仿宋_GB2312" w:hint="eastAsia"/>
                <w:color w:val="000000" w:themeColor="text1"/>
                <w:kern w:val="0"/>
                <w:sz w:val="24"/>
              </w:rPr>
              <w:t>落实县级对托育机构安全管理的主体责任，开展“双随机、一公开”监管机制，年内对每个机构至少实地巡查指导</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次得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分，否则不得分。将托育服务纳入公共安全重点保障范围，全面落实安全和健康的得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124"/>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spacing w:line="300" w:lineRule="exac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31.</w:t>
            </w:r>
            <w:r>
              <w:rPr>
                <w:rFonts w:ascii="仿宋_GB2312" w:eastAsia="仿宋_GB2312" w:cs="仿宋_GB2312" w:hint="eastAsia"/>
                <w:color w:val="000000" w:themeColor="text1"/>
                <w:kern w:val="0"/>
                <w:sz w:val="24"/>
              </w:rPr>
              <w:t>全面落实托育机构应当向县级卫生健康部门备案的法律责任，向托育机构宣传到位的得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w:t>
            </w:r>
            <w:r>
              <w:rPr>
                <w:rFonts w:ascii="仿宋_GB2312" w:eastAsia="仿宋_GB2312" w:cs="仿宋_GB2312" w:hint="eastAsia"/>
                <w:color w:val="000000" w:themeColor="text1"/>
                <w:kern w:val="0"/>
                <w:sz w:val="24"/>
                <w:lang w:val="zh-CN"/>
              </w:rPr>
              <w:t>。能充分</w:t>
            </w:r>
            <w:r>
              <w:rPr>
                <w:rFonts w:ascii="仿宋_GB2312" w:eastAsia="仿宋_GB2312" w:cs="仿宋_GB2312" w:hint="eastAsia"/>
                <w:color w:val="000000" w:themeColor="text1"/>
                <w:kern w:val="0"/>
                <w:sz w:val="24"/>
              </w:rPr>
              <w:t>发挥群团组织和行业组织的作用，加强宣传教育和社会监督，托育服务行业自律好的得</w:t>
            </w:r>
            <w:r>
              <w:rPr>
                <w:rFonts w:ascii="仿宋_GB2312" w:eastAsia="仿宋_GB2312" w:cs="仿宋_GB2312" w:hint="eastAsia"/>
                <w:color w:val="000000" w:themeColor="text1"/>
                <w:kern w:val="0"/>
                <w:sz w:val="24"/>
              </w:rPr>
              <w:t>1</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898"/>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spacing w:line="300" w:lineRule="exac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32.</w:t>
            </w:r>
            <w:r>
              <w:rPr>
                <w:rFonts w:ascii="仿宋_GB2312" w:eastAsia="仿宋_GB2312" w:cs="仿宋_GB2312" w:hint="eastAsia"/>
                <w:color w:val="000000" w:themeColor="text1"/>
                <w:kern w:val="0"/>
                <w:sz w:val="24"/>
              </w:rPr>
              <w:t>依法实施守信联合激励和失信联合惩戒，建立以信用为基础的新型监管机制的得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173"/>
          <w:jc w:val="center"/>
        </w:trPr>
        <w:tc>
          <w:tcPr>
            <w:tcW w:w="1174" w:type="dxa"/>
            <w:vMerge/>
            <w:vAlign w:val="center"/>
          </w:tcPr>
          <w:p w:rsidR="001F44B4" w:rsidRDefault="001F44B4">
            <w:pPr>
              <w:rPr>
                <w:color w:val="000000" w:themeColor="text1"/>
              </w:rPr>
            </w:pPr>
          </w:p>
        </w:tc>
        <w:tc>
          <w:tcPr>
            <w:tcW w:w="978" w:type="dxa"/>
            <w:vMerge/>
            <w:vAlign w:val="center"/>
          </w:tcPr>
          <w:p w:rsidR="001F44B4" w:rsidRDefault="001F44B4">
            <w:pPr>
              <w:rPr>
                <w:color w:val="000000" w:themeColor="text1"/>
              </w:rPr>
            </w:pPr>
          </w:p>
        </w:tc>
        <w:tc>
          <w:tcPr>
            <w:tcW w:w="8136" w:type="dxa"/>
            <w:vAlign w:val="center"/>
          </w:tcPr>
          <w:p w:rsidR="001F44B4" w:rsidRDefault="00091A46">
            <w:pPr>
              <w:adjustRightInd w:val="0"/>
              <w:snapToGrid w:val="0"/>
              <w:spacing w:line="300" w:lineRule="exac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33.</w:t>
            </w:r>
            <w:r>
              <w:rPr>
                <w:rFonts w:ascii="仿宋_GB2312" w:eastAsia="仿宋_GB2312" w:cs="仿宋_GB2312" w:hint="eastAsia"/>
                <w:color w:val="000000" w:themeColor="text1"/>
                <w:kern w:val="0"/>
                <w:sz w:val="24"/>
              </w:rPr>
              <w:t>本辖区内托育机构服务质量好、声誉口碑好，婴幼儿家庭满意程度高，本地区婴幼儿照护服务工作</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年无</w:t>
            </w:r>
            <w:r>
              <w:rPr>
                <w:rFonts w:ascii="仿宋_GB2312" w:eastAsia="仿宋_GB2312" w:cs="仿宋_GB2312" w:hint="eastAsia"/>
                <w:color w:val="000000" w:themeColor="text1"/>
                <w:kern w:val="0"/>
                <w:sz w:val="24"/>
                <w:lang w:val="zh-CN"/>
              </w:rPr>
              <w:t>违法行政案件、无技术事故、无安全事故及信访事件，未发生涉及婴幼儿照护服务方面的负面舆情的得</w:t>
            </w:r>
            <w:r>
              <w:rPr>
                <w:rFonts w:ascii="仿宋_GB2312" w:eastAsia="仿宋_GB2312" w:cs="仿宋_GB2312" w:hint="eastAsia"/>
                <w:color w:val="000000" w:themeColor="text1"/>
                <w:kern w:val="0"/>
                <w:sz w:val="24"/>
              </w:rPr>
              <w:t>2</w:t>
            </w:r>
            <w:r>
              <w:rPr>
                <w:rFonts w:ascii="仿宋_GB2312" w:eastAsia="仿宋_GB2312" w:cs="仿宋_GB2312" w:hint="eastAsia"/>
                <w:color w:val="000000" w:themeColor="text1"/>
                <w:kern w:val="0"/>
                <w:sz w:val="24"/>
              </w:rPr>
              <w:t>分，否则不得分。</w:t>
            </w:r>
          </w:p>
        </w:tc>
        <w:tc>
          <w:tcPr>
            <w:tcW w:w="2859" w:type="dxa"/>
            <w:vAlign w:val="center"/>
          </w:tcPr>
          <w:p w:rsidR="001F44B4" w:rsidRDefault="001F44B4">
            <w:pPr>
              <w:widowControl/>
              <w:adjustRightInd w:val="0"/>
              <w:snapToGrid w:val="0"/>
              <w:jc w:val="left"/>
              <w:rPr>
                <w:rFonts w:ascii="仿宋_GB2312" w:eastAsia="仿宋_GB2312" w:cs="仿宋_GB2312"/>
                <w:color w:val="000000" w:themeColor="text1"/>
                <w:kern w:val="0"/>
                <w:sz w:val="24"/>
              </w:rPr>
            </w:pPr>
          </w:p>
        </w:tc>
        <w:tc>
          <w:tcPr>
            <w:tcW w:w="908" w:type="dxa"/>
            <w:vAlign w:val="center"/>
          </w:tcPr>
          <w:p w:rsidR="001F44B4" w:rsidRDefault="001F44B4">
            <w:pPr>
              <w:rPr>
                <w:color w:val="000000" w:themeColor="text1"/>
              </w:rPr>
            </w:pPr>
          </w:p>
        </w:tc>
      </w:tr>
      <w:tr w:rsidR="001F44B4">
        <w:trPr>
          <w:trHeight w:val="703"/>
          <w:jc w:val="center"/>
        </w:trPr>
        <w:tc>
          <w:tcPr>
            <w:tcW w:w="1174" w:type="dxa"/>
            <w:vAlign w:val="center"/>
          </w:tcPr>
          <w:p w:rsidR="001F44B4" w:rsidRDefault="00091A46">
            <w:pPr>
              <w:adjustRightInd w:val="0"/>
              <w:snapToGrid w:val="0"/>
              <w:jc w:val="center"/>
              <w:rPr>
                <w:rFonts w:ascii="仿宋_GB2312" w:eastAsia="仿宋_GB2312" w:cs="仿宋_GB2312"/>
                <w:color w:val="000000" w:themeColor="text1"/>
                <w:kern w:val="0"/>
                <w:sz w:val="24"/>
              </w:rPr>
            </w:pPr>
            <w:r>
              <w:rPr>
                <w:rFonts w:ascii="仿宋_GB2312" w:eastAsia="仿宋_GB2312" w:cs="仿宋_GB2312" w:hint="eastAsia"/>
                <w:b/>
                <w:bCs/>
                <w:color w:val="000000" w:themeColor="text1"/>
                <w:kern w:val="0"/>
                <w:sz w:val="24"/>
              </w:rPr>
              <w:t>合计</w:t>
            </w:r>
          </w:p>
        </w:tc>
        <w:tc>
          <w:tcPr>
            <w:tcW w:w="9114" w:type="dxa"/>
            <w:gridSpan w:val="2"/>
            <w:vAlign w:val="center"/>
          </w:tcPr>
          <w:p w:rsidR="001F44B4" w:rsidRDefault="00091A46">
            <w:pPr>
              <w:widowControl/>
              <w:adjustRightInd w:val="0"/>
              <w:snapToGrid w:val="0"/>
              <w:jc w:val="center"/>
              <w:rPr>
                <w:rFonts w:ascii="仿宋_GB2312" w:eastAsia="仿宋_GB2312" w:cs="仿宋_GB2312"/>
                <w:color w:val="000000" w:themeColor="text1"/>
                <w:kern w:val="0"/>
                <w:sz w:val="24"/>
              </w:rPr>
            </w:pPr>
            <w:r>
              <w:rPr>
                <w:rFonts w:ascii="仿宋_GB2312" w:eastAsia="仿宋_GB2312" w:cs="仿宋_GB2312" w:hint="eastAsia"/>
                <w:bCs/>
                <w:color w:val="000000" w:themeColor="text1"/>
                <w:kern w:val="0"/>
                <w:sz w:val="24"/>
              </w:rPr>
              <w:t>100</w:t>
            </w:r>
            <w:r>
              <w:rPr>
                <w:rFonts w:ascii="仿宋_GB2312" w:eastAsia="仿宋_GB2312" w:cs="仿宋_GB2312" w:hint="eastAsia"/>
                <w:bCs/>
                <w:color w:val="000000" w:themeColor="text1"/>
                <w:kern w:val="0"/>
                <w:sz w:val="24"/>
              </w:rPr>
              <w:t>分</w:t>
            </w:r>
          </w:p>
        </w:tc>
        <w:tc>
          <w:tcPr>
            <w:tcW w:w="2859" w:type="dxa"/>
            <w:vAlign w:val="center"/>
          </w:tcPr>
          <w:p w:rsidR="001F44B4" w:rsidRDefault="00091A46">
            <w:pPr>
              <w:widowControl/>
              <w:adjustRightInd w:val="0"/>
              <w:snapToGrid w:val="0"/>
              <w:jc w:val="left"/>
              <w:rPr>
                <w:rFonts w:ascii="仿宋_GB2312" w:eastAsia="仿宋_GB2312" w:cs="仿宋_GB2312"/>
                <w:color w:val="000000" w:themeColor="text1"/>
                <w:kern w:val="0"/>
                <w:sz w:val="24"/>
              </w:rPr>
            </w:pPr>
            <w:r>
              <w:rPr>
                <w:rFonts w:ascii="仿宋_GB2312" w:eastAsia="仿宋_GB2312" w:cs="仿宋_GB2312" w:hint="eastAsia"/>
                <w:color w:val="000000" w:themeColor="text1"/>
                <w:kern w:val="0"/>
                <w:sz w:val="24"/>
              </w:rPr>
              <w:t xml:space="preserve">　</w:t>
            </w:r>
          </w:p>
        </w:tc>
        <w:tc>
          <w:tcPr>
            <w:tcW w:w="908" w:type="dxa"/>
            <w:vAlign w:val="center"/>
          </w:tcPr>
          <w:p w:rsidR="001F44B4" w:rsidRDefault="001F44B4">
            <w:pPr>
              <w:widowControl/>
              <w:adjustRightInd w:val="0"/>
              <w:snapToGrid w:val="0"/>
              <w:jc w:val="center"/>
              <w:rPr>
                <w:rFonts w:ascii="仿宋_GB2312" w:eastAsia="仿宋_GB2312" w:cs="仿宋_GB2312"/>
                <w:color w:val="000000" w:themeColor="text1"/>
                <w:kern w:val="0"/>
                <w:sz w:val="24"/>
              </w:rPr>
            </w:pPr>
          </w:p>
        </w:tc>
      </w:tr>
    </w:tbl>
    <w:p w:rsidR="001F44B4" w:rsidRDefault="001F44B4" w:rsidP="00785771">
      <w:pPr>
        <w:pStyle w:val="2"/>
        <w:ind w:firstLineChars="0" w:firstLine="0"/>
        <w:rPr>
          <w:rFonts w:hint="eastAsia"/>
        </w:rPr>
      </w:pPr>
      <w:bookmarkStart w:id="0" w:name="_GoBack"/>
      <w:bookmarkEnd w:id="0"/>
    </w:p>
    <w:sectPr w:rsidR="001F44B4" w:rsidSect="00785771">
      <w:footerReference w:type="default" r:id="rId7"/>
      <w:footerReference w:type="first" r:id="rId8"/>
      <w:pgSz w:w="16838" w:h="11906" w:orient="landscape"/>
      <w:pgMar w:top="1701" w:right="1701" w:bottom="1417" w:left="1417" w:header="851" w:footer="992" w:gutter="0"/>
      <w:cols w:space="0"/>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46" w:rsidRDefault="00091A46">
      <w:r>
        <w:separator/>
      </w:r>
    </w:p>
  </w:endnote>
  <w:endnote w:type="continuationSeparator" w:id="0">
    <w:p w:rsidR="00091A46" w:rsidRDefault="0009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4" w:rsidRDefault="001F44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4" w:rsidRDefault="001F44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46" w:rsidRDefault="00091A46">
      <w:r>
        <w:separator/>
      </w:r>
    </w:p>
  </w:footnote>
  <w:footnote w:type="continuationSeparator" w:id="0">
    <w:p w:rsidR="00091A46" w:rsidRDefault="0009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rsids>
    <w:rsidRoot w:val="00A53735"/>
    <w:rsid w:val="00005415"/>
    <w:rsid w:val="00032102"/>
    <w:rsid w:val="00033E7C"/>
    <w:rsid w:val="00091A46"/>
    <w:rsid w:val="0009699A"/>
    <w:rsid w:val="00101D09"/>
    <w:rsid w:val="00110827"/>
    <w:rsid w:val="00115BE7"/>
    <w:rsid w:val="00127520"/>
    <w:rsid w:val="00151101"/>
    <w:rsid w:val="001D6BEA"/>
    <w:rsid w:val="001F44B4"/>
    <w:rsid w:val="00242889"/>
    <w:rsid w:val="002735CB"/>
    <w:rsid w:val="002D7D46"/>
    <w:rsid w:val="002F2AA0"/>
    <w:rsid w:val="0036495D"/>
    <w:rsid w:val="00385EE5"/>
    <w:rsid w:val="00395E7C"/>
    <w:rsid w:val="003D0156"/>
    <w:rsid w:val="003E3F84"/>
    <w:rsid w:val="00451EB3"/>
    <w:rsid w:val="00490E47"/>
    <w:rsid w:val="004E4631"/>
    <w:rsid w:val="0051249F"/>
    <w:rsid w:val="0053280E"/>
    <w:rsid w:val="005661A0"/>
    <w:rsid w:val="005749D3"/>
    <w:rsid w:val="00583839"/>
    <w:rsid w:val="005D0937"/>
    <w:rsid w:val="006179EE"/>
    <w:rsid w:val="006348E7"/>
    <w:rsid w:val="00634925"/>
    <w:rsid w:val="00642C76"/>
    <w:rsid w:val="006A5A2C"/>
    <w:rsid w:val="00727532"/>
    <w:rsid w:val="00785771"/>
    <w:rsid w:val="007A261E"/>
    <w:rsid w:val="007F5A4E"/>
    <w:rsid w:val="008D26FE"/>
    <w:rsid w:val="00905DEF"/>
    <w:rsid w:val="009338C9"/>
    <w:rsid w:val="00942B38"/>
    <w:rsid w:val="00992542"/>
    <w:rsid w:val="009C0311"/>
    <w:rsid w:val="00A53735"/>
    <w:rsid w:val="00A965AE"/>
    <w:rsid w:val="00AA3488"/>
    <w:rsid w:val="00B02A9B"/>
    <w:rsid w:val="00B62317"/>
    <w:rsid w:val="00B95ABC"/>
    <w:rsid w:val="00BA65A2"/>
    <w:rsid w:val="00BB2E5F"/>
    <w:rsid w:val="00BD0CC2"/>
    <w:rsid w:val="00C00C02"/>
    <w:rsid w:val="00C342B3"/>
    <w:rsid w:val="00C50E35"/>
    <w:rsid w:val="00C759A8"/>
    <w:rsid w:val="00C94416"/>
    <w:rsid w:val="00CD28C7"/>
    <w:rsid w:val="00CD3487"/>
    <w:rsid w:val="00D03592"/>
    <w:rsid w:val="00D252CD"/>
    <w:rsid w:val="00E21411"/>
    <w:rsid w:val="00E37B2B"/>
    <w:rsid w:val="00E37C31"/>
    <w:rsid w:val="00E8048E"/>
    <w:rsid w:val="00E965EA"/>
    <w:rsid w:val="00EE3932"/>
    <w:rsid w:val="00F05C6D"/>
    <w:rsid w:val="00F11ACD"/>
    <w:rsid w:val="00F12E58"/>
    <w:rsid w:val="00F71795"/>
    <w:rsid w:val="00F87D80"/>
    <w:rsid w:val="00F961FC"/>
    <w:rsid w:val="00FB59D4"/>
    <w:rsid w:val="103D26B5"/>
    <w:rsid w:val="11FD2B10"/>
    <w:rsid w:val="2B3C0028"/>
    <w:rsid w:val="32816F14"/>
    <w:rsid w:val="3DC44E1F"/>
    <w:rsid w:val="534A7B09"/>
    <w:rsid w:val="558C22BC"/>
    <w:rsid w:val="5D90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E2B9DF9-9507-459A-8D18-076EC2B1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pPr>
    <w:rPr>
      <w:rFonts w:ascii="Times New Roman" w:eastAsia="仿宋_GB2312" w:hAnsi="Times New Roman" w:cs="Times New Roman"/>
      <w:sz w:val="32"/>
      <w:szCs w:val="32"/>
    </w:rPr>
  </w:style>
  <w:style w:type="paragraph" w:styleId="a3">
    <w:name w:val="Body Text"/>
    <w:basedOn w:val="a"/>
    <w:qFormat/>
    <w:pPr>
      <w:spacing w:after="120"/>
    </w:pPr>
  </w:style>
  <w:style w:type="paragraph" w:styleId="5">
    <w:name w:val="index 5"/>
    <w:basedOn w:val="a"/>
    <w:next w:val="a"/>
    <w:qFormat/>
    <w:pPr>
      <w:ind w:left="1680"/>
    </w:pPr>
  </w:style>
  <w:style w:type="paragraph" w:styleId="a4">
    <w:name w:val="Balloon Text"/>
    <w:basedOn w:val="a"/>
    <w:link w:val="Char"/>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cs="宋体"/>
      <w:kern w:val="0"/>
      <w:sz w:val="24"/>
      <w:szCs w:val="24"/>
    </w:rPr>
  </w:style>
  <w:style w:type="character" w:styleId="a8">
    <w:name w:val="Hyperlink"/>
    <w:basedOn w:val="a0"/>
    <w:uiPriority w:val="99"/>
    <w:unhideWhenUsed/>
    <w:qFormat/>
    <w:rPr>
      <w:color w:val="0000FF" w:themeColor="hyperlink"/>
      <w:u w:val="single"/>
    </w:rPr>
  </w:style>
  <w:style w:type="paragraph" w:customStyle="1" w:styleId="p0">
    <w:name w:val="p0"/>
    <w:next w:val="5"/>
    <w:qFormat/>
    <w:pPr>
      <w:spacing w:before="100" w:beforeAutospacing="1" w:after="100" w:afterAutospacing="1"/>
    </w:pPr>
    <w:rPr>
      <w:rFonts w:ascii="宋体" w:eastAsia="宋体" w:cs="宋体"/>
      <w:sz w:val="24"/>
      <w:szCs w:val="24"/>
    </w:rPr>
  </w:style>
  <w:style w:type="paragraph" w:customStyle="1" w:styleId="Bodytext1">
    <w:name w:val="Body text|1"/>
    <w:basedOn w:val="a"/>
    <w:qFormat/>
    <w:pPr>
      <w:spacing w:line="444" w:lineRule="auto"/>
      <w:ind w:firstLine="400"/>
    </w:pPr>
    <w:rPr>
      <w:rFonts w:ascii="宋体" w:cs="宋体"/>
      <w:sz w:val="28"/>
      <w:szCs w:val="28"/>
      <w:lang w:val="zh-TW" w:eastAsia="zh-TW" w:bidi="zh-TW"/>
    </w:rPr>
  </w:style>
  <w:style w:type="paragraph" w:customStyle="1" w:styleId="Heading21">
    <w:name w:val="Heading #2|1"/>
    <w:basedOn w:val="a"/>
    <w:qFormat/>
    <w:pPr>
      <w:spacing w:after="160" w:line="713" w:lineRule="exact"/>
      <w:jc w:val="center"/>
      <w:outlineLvl w:val="1"/>
    </w:pPr>
    <w:rPr>
      <w:rFonts w:ascii="宋体" w:cs="宋体"/>
      <w:sz w:val="42"/>
      <w:szCs w:val="42"/>
      <w:lang w:val="zh-TW" w:eastAsia="zh-TW" w:bidi="zh-TW"/>
    </w:rPr>
  </w:style>
  <w:style w:type="character" w:customStyle="1" w:styleId="Char">
    <w:name w:val="批注框文本 Char"/>
    <w:basedOn w:val="a0"/>
    <w:link w:val="a4"/>
    <w:uiPriority w:val="99"/>
    <w:semiHidden/>
    <w:qFormat/>
    <w:rPr>
      <w:rFonts w:ascii="Calibri" w:hAnsi="Calibri" w:cs="Arial"/>
      <w:kern w:val="2"/>
      <w:sz w:val="18"/>
      <w:szCs w:val="18"/>
    </w:rPr>
  </w:style>
  <w:style w:type="paragraph" w:customStyle="1" w:styleId="CharCharChar">
    <w:name w:val="Char Char Char"/>
    <w:basedOn w:val="a"/>
    <w:qFormat/>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2337</Characters>
  <Application>Microsoft Office Word</Application>
  <DocSecurity>0</DocSecurity>
  <Lines>19</Lines>
  <Paragraphs>5</Paragraphs>
  <ScaleCrop>false</ScaleCrop>
  <Company>广西卫生计生宣教中心</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网站编辑部</cp:lastModifiedBy>
  <cp:revision>2</cp:revision>
  <cp:lastPrinted>2021-09-26T08:11:00Z</cp:lastPrinted>
  <dcterms:created xsi:type="dcterms:W3CDTF">2021-09-27T02:06:00Z</dcterms:created>
  <dcterms:modified xsi:type="dcterms:W3CDTF">2021-09-27T02:06:00Z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5D1C20ACBB9F42499217395640BBE291</vt:lpwstr>
  </property>
</Properties>
</file>