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附件1</w:t>
      </w:r>
    </w:p>
    <w:p>
      <w:pPr>
        <w:shd w:val="clear" w:color="auto" w:fill="FFFFFF"/>
        <w:adjustRightInd w:val="0"/>
        <w:snapToGrid w:val="0"/>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北京市儿童早期发展优质服务基地标准（2021年版）</w:t>
      </w:r>
    </w:p>
    <w:tbl>
      <w:tblPr>
        <w:tblStyle w:val="2"/>
        <w:tblW w:w="0" w:type="auto"/>
        <w:tblInd w:w="0" w:type="dxa"/>
        <w:tblLayout w:type="fixed"/>
        <w:tblCellMar>
          <w:top w:w="15" w:type="dxa"/>
          <w:left w:w="15" w:type="dxa"/>
          <w:bottom w:w="15" w:type="dxa"/>
          <w:right w:w="15" w:type="dxa"/>
        </w:tblCellMar>
      </w:tblPr>
      <w:tblGrid>
        <w:gridCol w:w="1407"/>
        <w:gridCol w:w="1410"/>
        <w:gridCol w:w="9675"/>
        <w:gridCol w:w="1270"/>
      </w:tblGrid>
      <w:tr>
        <w:tblPrEx>
          <w:tblCellMar>
            <w:top w:w="15" w:type="dxa"/>
            <w:left w:w="15" w:type="dxa"/>
            <w:bottom w:w="15" w:type="dxa"/>
            <w:right w:w="15" w:type="dxa"/>
          </w:tblCellMar>
        </w:tblPrEx>
        <w:trPr>
          <w:trHeight w:val="512" w:hRule="atLeast"/>
        </w:trPr>
        <w:tc>
          <w:tcPr>
            <w:tcW w:w="28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评估指标</w:t>
            </w:r>
          </w:p>
        </w:tc>
        <w:tc>
          <w:tcPr>
            <w:tcW w:w="967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highlight w:val="none"/>
              </w:rPr>
            </w:pPr>
            <w:r>
              <w:rPr>
                <w:rFonts w:hint="eastAsia" w:ascii="黑体" w:hAnsi="黑体" w:eastAsia="黑体" w:cs="黑体"/>
                <w:color w:val="auto"/>
                <w:kern w:val="0"/>
                <w:sz w:val="24"/>
                <w:szCs w:val="24"/>
                <w:highlight w:val="none"/>
              </w:rPr>
              <w:t>评估内容</w:t>
            </w:r>
          </w:p>
        </w:tc>
        <w:tc>
          <w:tcPr>
            <w:tcW w:w="1270" w:type="dxa"/>
            <w:vMerge w:val="restart"/>
            <w:tcBorders>
              <w:top w:val="single" w:color="000000" w:sz="4" w:space="0"/>
              <w:left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color w:val="auto"/>
                <w:sz w:val="24"/>
                <w:szCs w:val="24"/>
                <w:highlight w:val="none"/>
              </w:rPr>
            </w:pPr>
            <w:r>
              <w:rPr>
                <w:rFonts w:hint="eastAsia" w:ascii="黑体" w:hAnsi="黑体" w:eastAsia="黑体" w:cs="黑体"/>
                <w:color w:val="auto"/>
                <w:kern w:val="0"/>
                <w:sz w:val="24"/>
                <w:szCs w:val="24"/>
                <w:highlight w:val="none"/>
              </w:rPr>
              <w:t>分值（分）</w:t>
            </w:r>
          </w:p>
        </w:tc>
      </w:tr>
      <w:tr>
        <w:tblPrEx>
          <w:tblCellMar>
            <w:top w:w="15" w:type="dxa"/>
            <w:left w:w="15" w:type="dxa"/>
            <w:bottom w:w="15" w:type="dxa"/>
            <w:right w:w="15" w:type="dxa"/>
          </w:tblCellMar>
        </w:tblPrEx>
        <w:trPr>
          <w:trHeight w:val="567" w:hRule="atLeast"/>
        </w:trPr>
        <w:tc>
          <w:tcPr>
            <w:tcW w:w="140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一级指标</w:t>
            </w:r>
          </w:p>
        </w:tc>
        <w:tc>
          <w:tcPr>
            <w:tcW w:w="141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二级指标</w:t>
            </w:r>
          </w:p>
        </w:tc>
        <w:tc>
          <w:tcPr>
            <w:tcW w:w="9675" w:type="dxa"/>
            <w:vMerge w:val="continue"/>
            <w:tcBorders>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p>
        </w:tc>
        <w:tc>
          <w:tcPr>
            <w:tcW w:w="127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575" w:hRule="atLeast"/>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持续发展</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(10分)</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组织管理</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1.建立儿童早期发展服务领导及多部门协调机制,有负责部门与人员进行组织管理。</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47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2.将儿童早期发展服务纳入医疗机构整体发展规划，明确发展方向及目标。</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47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3.工作制度健全、服务流程合理、可操作性强。具有年度工作计划及工作总结，体现工作实效性和先进性。</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3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经费支持</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1.对儿童早期发展相关场地环境、硬件设备、信息系统及其更新提供持续性经费支持。</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6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2.对儿童早期发展业务人员能力建设提供持续经费投入，支持人员引进、学习进修等。</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5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服务绩效</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儿童早期发展服务社会效益及经济效益逐年提高。</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835" w:hRule="atLeast"/>
        </w:trPr>
        <w:tc>
          <w:tcPr>
            <w:tcW w:w="14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设施设备</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（10分</w:t>
            </w:r>
            <w:r>
              <w:rPr>
                <w:rFonts w:ascii="仿宋_GB2312" w:hAnsi="仿宋_GB2312" w:eastAsia="仿宋_GB2312" w:cs="仿宋_GB2312"/>
                <w:color w:val="auto"/>
                <w:kern w:val="0"/>
                <w:sz w:val="24"/>
                <w:szCs w:val="24"/>
                <w:highlight w:val="none"/>
              </w:rPr>
              <w:t>）</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场地设施</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（4分）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1.具有开展儿童早期发展服务的相关业务用房，总面积不少于1500平方米，包括孕期营养和心理咨询门诊，不包括公共会议室、礼堂等全院公用设施。</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110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2.服务场所符合儿童安全要求和无障碍要求。设有哺乳室，候诊室、诊室和检查室舒适、温馨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符合儿童心理发育特点。</w:t>
            </w:r>
            <w:r>
              <w:rPr>
                <w:rFonts w:hint="eastAsia" w:ascii="仿宋_GB2312" w:hAnsi="仿宋_GB2312" w:eastAsia="仿宋_GB2312" w:cs="仿宋_GB2312"/>
                <w:kern w:val="0"/>
                <w:sz w:val="24"/>
                <w:szCs w:val="24"/>
                <w:highlight w:val="none"/>
              </w:rPr>
              <w:t>设置发热门诊（哨点），</w:t>
            </w:r>
            <w:r>
              <w:rPr>
                <w:rFonts w:hint="eastAsia" w:ascii="仿宋_GB2312" w:hAnsi="仿宋_GB2312" w:eastAsia="仿宋_GB2312" w:cs="仿宋_GB2312"/>
                <w:sz w:val="24"/>
                <w:szCs w:val="24"/>
                <w:highlight w:val="none"/>
              </w:rPr>
              <w:t>有传染病防控能力。</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1415"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设备配备</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配备用于儿童早期发展服务的儿童体格生长测量工具、儿童膳食营养评价工具、儿童心理行为发育评估工具、亲子活动玩教具和图书、高危儿及生长发育偏离儿童早期干预设备、五官保健设备、孕产妇营养及心理评价工具、家长培训及宣传教育等设备，数量满足日常服务需求，保持设施设备功能状态良好。</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7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信息支撑</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1.具备儿童早期发展服务信息系统，实现院内儿童健康信息共享，为开展儿童保健相关转诊、会诊、多学科合作提供技术支撑。</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855"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2.利用互联网信息化手段，为儿童提供预约诊疗、候诊提醒、检查检验结果查询、缴费、健康指导等服务。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20" w:hRule="atLeast"/>
        </w:trPr>
        <w:tc>
          <w:tcPr>
            <w:tcW w:w="14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3.专案管理病历电子化。</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885" w:hRule="atLeast"/>
        </w:trPr>
        <w:tc>
          <w:tcPr>
            <w:tcW w:w="14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服务内容</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（57分</w:t>
            </w:r>
            <w:r>
              <w:rPr>
                <w:rFonts w:ascii="仿宋_GB2312" w:hAnsi="仿宋_GB2312" w:eastAsia="仿宋_GB2312" w:cs="仿宋_GB2312"/>
                <w:color w:val="auto"/>
                <w:kern w:val="0"/>
                <w:sz w:val="24"/>
                <w:szCs w:val="24"/>
                <w:highlight w:val="none"/>
              </w:rPr>
              <w:t>）</w:t>
            </w: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服务规模</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（8分）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rPr>
              <w:t>1.创新服务理念、拓展服务内涵、提升服务质量，开展专业、规范的特色服务，有新项目、新技术应用。</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85" w:hRule="atLeast"/>
        </w:trPr>
        <w:tc>
          <w:tcPr>
            <w:tcW w:w="1407"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2.儿童早期发展服务总人次数不少于3万人次/年，包括孕产期营养及心理门诊人次数、儿童保健相关专科门诊人次数、生长发育偏离及异常儿童的个体干预训练人次数。</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60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156" w:beforeLines="50" w:after="156" w:afterLine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3.儿童早期发展群体服务量逐年增加，包括孕妇学校和家长学校中相关课程的年参与人次数。</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r>
      <w:tr>
        <w:tblPrEx>
          <w:tblCellMar>
            <w:top w:w="15" w:type="dxa"/>
            <w:left w:w="15" w:type="dxa"/>
            <w:bottom w:w="15" w:type="dxa"/>
            <w:right w:w="15" w:type="dxa"/>
          </w:tblCellMar>
        </w:tblPrEx>
        <w:trPr>
          <w:trHeight w:val="80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before="156" w:beforeLines="50" w:after="156" w:afterLine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4.儿童早期发展服务中，高危儿、生长发育偏离或异常儿童、患病等特殊需求儿童及外院转诊儿童占一定比例。</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r>
      <w:tr>
        <w:tblPrEx>
          <w:tblCellMar>
            <w:top w:w="15" w:type="dxa"/>
            <w:left w:w="15" w:type="dxa"/>
            <w:bottom w:w="15" w:type="dxa"/>
            <w:right w:w="15" w:type="dxa"/>
          </w:tblCellMar>
        </w:tblPrEx>
        <w:trPr>
          <w:trHeight w:val="7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服务项目</w:t>
            </w:r>
          </w:p>
          <w:p>
            <w:pPr>
              <w:widowControl/>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（42分）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1.孕产妇营养与心理保健：提供孕产期营养与心理保健咨询</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本院建档的孕妇营养指导率≥30%</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本院分娩的产妇孕期心理筛查率≥80%。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2.新生儿保健：开展新生儿早期基本保健服务，全面实施母婴同室、按需喂养；1小时内早开奶率≥90%；母婴同室产妇出院前纯母乳喂养率≥90%。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102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3.儿童生长监测、评估及指导：为婴幼儿建立儿童健康档案，进行疾病综合管理，动态观察生长发育水平，及时发现和干预生长发育偏离儿童，必要时转诊。生长、营养专科门诊儿童生长曲线图使用率达到100%。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73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儿童营养喂养评估及指导：</w:t>
            </w:r>
          </w:p>
          <w:p>
            <w:pPr>
              <w:widowControl/>
              <w:numPr>
                <w:ilvl w:val="0"/>
                <w:numId w:val="2"/>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开展儿童营养和喂养评价。</w:t>
            </w:r>
          </w:p>
          <w:p>
            <w:pPr>
              <w:widowControl/>
              <w:numPr>
                <w:ilvl w:val="0"/>
                <w:numId w:val="2"/>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提供母乳喂养、辅食添加、进食行为等咨询指导，机构6个月内婴儿母乳喂养指导率达到100%。</w:t>
            </w:r>
          </w:p>
          <w:p>
            <w:pPr>
              <w:widowControl/>
              <w:numPr>
                <w:ilvl w:val="0"/>
                <w:numId w:val="2"/>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提供儿童常见营养性疾病诊疗服务。依据儿童生长迟缓、贫血、超重、肥胖等相关诊疗规范和早期干预流程，为儿童制定个性化干预方案，建立专案管理，定期对干预治疗效果进行评价，必要时转诊。</w:t>
            </w:r>
          </w:p>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（4）辖区儿童生长迟缓、贫血发生率均低于全市平均水平。</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心理保健：落实《儿童心理保健技术规范》，规范开展儿童心理行为发育监测、评估及干预。</w:t>
            </w:r>
          </w:p>
          <w:p>
            <w:pPr>
              <w:widowControl/>
              <w:numPr>
                <w:ilvl w:val="0"/>
                <w:numId w:val="4"/>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规范开展儿童心理保健服务及疾病复筛工作，使用心理行为发育评估工具开展儿童心理行为发育等评估和诊疗，开展一般行为问题及常见心理行为发育异常儿童诊疗和干预。</w:t>
            </w:r>
          </w:p>
          <w:p>
            <w:pPr>
              <w:widowControl/>
              <w:numPr>
                <w:ilvl w:val="0"/>
                <w:numId w:val="4"/>
              </w:numP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为心理行为发育偏离儿童及其家庭提供运动、语言、社会交往、情绪、行为、营养等咨询指导和早期干预，干预率大于90%。</w:t>
            </w:r>
          </w:p>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（3）了解儿童家庭养育环境，积极开展育儿信心、技能和环境评估，提供有针对性家庭养育咨询指导。</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23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6.眼及视力保健：落实国家《0</w:t>
            </w:r>
            <w:r>
              <w:rPr>
                <w:rFonts w:ascii="仿宋_GB2312" w:hAnsi="仿宋_GB2312" w:eastAsia="仿宋_GB2312" w:cs="仿宋_GB2312"/>
                <w:kern w:val="0"/>
                <w:sz w:val="24"/>
                <w:szCs w:val="24"/>
                <w:highlight w:val="none"/>
              </w:rPr>
              <w:t>-6岁</w:t>
            </w:r>
            <w:r>
              <w:rPr>
                <w:rFonts w:hint="eastAsia" w:ascii="仿宋_GB2312" w:hAnsi="仿宋_GB2312" w:eastAsia="仿宋_GB2312" w:cs="仿宋_GB2312"/>
                <w:kern w:val="0"/>
                <w:sz w:val="24"/>
                <w:szCs w:val="24"/>
                <w:highlight w:val="none"/>
              </w:rPr>
              <w:t>儿童眼保健及视力检查服务规范》，规范开展儿童眼及视力保健复筛服务。本院出生早产儿按要求接受眼底病变筛查，筛查比例达到100%。对筛查异常儿童按网络管理要求，进行登记、转诊、诊治和随访。</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37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7.口腔保健：落实《儿童口腔保健指导技术规范》，开展儿童口腔保健指导、疾病筛查和转诊，对不同患龋风险儿童进行分类服务管理。做好儿童口腔保健的预防和宣传教育工作，积极开展儿童口腔疾病防治。本院接受服务的儿童家长口腔保健核心知识知晓率≥80%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11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8.耳及听力保健：落实《儿童耳及听力保健技术规范》，开展新生儿听力筛查、复筛，0-6岁儿童听力保健，发现听力异常儿童及时转诊或提供规范诊疗服务。新生儿听力复筛率≥90%，语言落后儿童听力筛查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9.高危儿管理：对本院出生的高危儿及辖区转诊的高危儿进行专案管理，</w:t>
            </w:r>
            <w:r>
              <w:rPr>
                <w:rFonts w:hint="eastAsia" w:ascii="仿宋_GB2312" w:hAnsi="仿宋_GB2312" w:eastAsia="仿宋_GB2312" w:cs="仿宋_GB2312"/>
                <w:kern w:val="0"/>
                <w:sz w:val="24"/>
                <w:szCs w:val="24"/>
                <w:highlight w:val="none"/>
              </w:rPr>
              <w:t>依据《早产儿</w:t>
            </w:r>
            <w:r>
              <w:rPr>
                <w:rFonts w:ascii="仿宋_GB2312" w:hAnsi="仿宋_GB2312" w:eastAsia="仿宋_GB2312" w:cs="仿宋_GB2312"/>
                <w:kern w:val="0"/>
                <w:sz w:val="24"/>
                <w:szCs w:val="24"/>
                <w:highlight w:val="none"/>
              </w:rPr>
              <w:t>保健工作规范》</w:t>
            </w:r>
            <w:r>
              <w:rPr>
                <w:rFonts w:hint="eastAsia" w:ascii="仿宋_GB2312" w:hAnsi="仿宋_GB2312" w:eastAsia="仿宋_GB2312" w:cs="仿宋_GB2312"/>
                <w:color w:val="auto"/>
                <w:kern w:val="0"/>
                <w:sz w:val="24"/>
                <w:szCs w:val="24"/>
                <w:highlight w:val="none"/>
              </w:rPr>
              <w:t>开展早产儿随访，定期进行生</w:t>
            </w:r>
            <w:r>
              <w:rPr>
                <w:rFonts w:hint="eastAsia" w:ascii="仿宋_GB2312" w:hAnsi="仿宋_GB2312" w:eastAsia="仿宋_GB2312" w:cs="仿宋_GB2312"/>
                <w:kern w:val="0"/>
                <w:sz w:val="24"/>
                <w:szCs w:val="24"/>
                <w:highlight w:val="none"/>
              </w:rPr>
              <w:t>长发育监测和咨询指导，干预规范、记录完整。3月龄内随访率大于80%，1岁内规范随访率大于50%。开展发育障碍儿童的早期筛查及管理，干预效果不佳者及时转诊至上级医疗机构。</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9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中医保健：应用中医药物和中医适宜技术开展中医儿童保健和疾病诊疗服务，儿童中医服务中，体质辨识率大于50%。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9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11.儿童康复：为有功能障碍儿童提供针对性康复训练，训练方法科学</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定期评价训练效果。重点开展视力、听力、肢体、智力和孤独症五类疾病儿童筛查、评估、康复等服务。积极开展家庭康复培训和指导，培训和指导率大于90%。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25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12.亲子活动：</w:t>
            </w:r>
            <w:r>
              <w:rPr>
                <w:rFonts w:hint="eastAsia" w:ascii="仿宋_GB2312" w:hAnsi="仿宋_GB2312" w:eastAsia="仿宋_GB2312" w:cs="仿宋_GB2312"/>
                <w:color w:val="auto"/>
                <w:kern w:val="0"/>
                <w:sz w:val="24"/>
                <w:szCs w:val="24"/>
                <w:highlight w:val="none"/>
                <w:lang w:eastAsia="zh-CN"/>
              </w:rPr>
              <w:t>在</w:t>
            </w:r>
            <w:r>
              <w:rPr>
                <w:rFonts w:hint="eastAsia" w:ascii="仿宋_GB2312" w:hAnsi="仿宋_GB2312" w:eastAsia="仿宋_GB2312" w:cs="仿宋_GB2312"/>
                <w:color w:val="auto"/>
                <w:kern w:val="0"/>
                <w:sz w:val="24"/>
                <w:szCs w:val="24"/>
                <w:highlight w:val="none"/>
              </w:rPr>
              <w:t>0-3岁儿童早期发展关键时期</w:t>
            </w:r>
            <w:r>
              <w:rPr>
                <w:rFonts w:hint="eastAsia" w:ascii="仿宋_GB2312" w:hAnsi="仿宋_GB2312" w:eastAsia="仿宋_GB2312" w:cs="仿宋_GB2312"/>
                <w:color w:val="auto"/>
                <w:kern w:val="0"/>
                <w:sz w:val="24"/>
                <w:szCs w:val="24"/>
                <w:highlight w:val="none"/>
                <w:lang w:eastAsia="zh-CN"/>
              </w:rPr>
              <w:t>，指导家庭</w:t>
            </w:r>
            <w:r>
              <w:rPr>
                <w:rFonts w:hint="eastAsia" w:ascii="仿宋_GB2312" w:hAnsi="仿宋_GB2312" w:eastAsia="仿宋_GB2312" w:cs="仿宋_GB2312"/>
                <w:color w:val="auto"/>
                <w:kern w:val="0"/>
                <w:sz w:val="24"/>
                <w:szCs w:val="24"/>
                <w:highlight w:val="none"/>
              </w:rPr>
              <w:t>开展不同形式亲子活动，鼓励家长与儿童玩耍交流，提高家长对儿童表现的敏感性。活动目标明确，为家长提供促进儿童早期发展的亲子活动示范。家长对于游戏或玩耍中的要点或技巧以及适合本年龄段儿童的亲子活动知晓率达到90%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1793"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13.父母课堂涵盖健康、营养、回应性照护、早期学习、安全保护等儿童早期发展内容，满足不同年龄段正常儿童、高危儿童和生长发育异常等儿童需求。课程形式多样、互动性强，提高养护人养育技能。课程每月至少循环一次。家长对于儿童绘本/卡片数量、有效沟通时间、家长每周亲子共餐次数、屏幕暴露弊端、儿童身体活动时间等养育照护知识知晓率大于90%。提供意外伤害预防及应急处置、心理安全等家庭养育指导。</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941"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14.养育照护小组活动：为父母和家庭提供育儿技能评估和家庭育儿环境评估，针对家庭常见养育问题开设小组课或给予针对性咨询指导，使幼儿获得早期学习机会。</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40"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15.利用微信公众号、微课堂等多种新媒体形式开展健康教育，定期评估健康教育效果。</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52"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服务质量</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（7分）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highlight w:val="none"/>
              </w:rPr>
              <w:t>1.近3年内儿童早期发展服务相关科室无重大医疗事故。有质量安全管理方案，定期进行质量控制，推进工作持续改进。</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795"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2.定期开展质量效果评估，在提高早期发现、改进干预效果、合理用药、避免过度医疗干预等方面有持续改进，强化病历书写规范。</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17" w:hRule="atLeast"/>
        </w:trPr>
        <w:tc>
          <w:tcPr>
            <w:tcW w:w="14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3.服务流程合理，服务过程中态度亲切，家长满意度达到90%以上。</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01" w:hRule="atLeast"/>
        </w:trPr>
        <w:tc>
          <w:tcPr>
            <w:tcW w:w="14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学科建设</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(11分)</w:t>
            </w: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学科建设</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（6分）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1.人员梯队：固定在岗提供儿童早期发展专职业务人员总数不低于40人，业务人员数量与服务量配比合理，高级以上职称占比≥30%，其中，正高职称人数不少于2人。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824"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2.各专业人员数配置合理，儿童营养、儿童心理、儿童眼保健、儿童口腔保健、儿童耳及听力保健、儿童康复等专科有1名以上具备专业技术职称或资格的人员。</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744"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3.专业人员定期参加专项技能培训，考核合格率达到100%，掌握卫生健康行政部门发布政策、指南和规范等</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不断提高诊疗技术准确性。</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学科引领</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1.学科带头人具有高级技术职称，专职从事儿童保健专业工作8年及以上，有丰富医疗、保健、教学和科研工作经验，并具备一定管理能力。</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2.学科带头人在市级及以上专业社团担任儿童早期发展相关专业职务。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590" w:hRule="atLeast"/>
        </w:trPr>
        <w:tc>
          <w:tcPr>
            <w:tcW w:w="14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学科合作</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highlight w:val="none"/>
              </w:rPr>
              <w:t>建立相关科室间转介制度，开展多学科合作。</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r>
        <w:tblPrEx>
          <w:tblCellMar>
            <w:top w:w="15" w:type="dxa"/>
            <w:left w:w="15" w:type="dxa"/>
            <w:bottom w:w="15" w:type="dxa"/>
            <w:right w:w="15" w:type="dxa"/>
          </w:tblCellMar>
        </w:tblPrEx>
        <w:trPr>
          <w:trHeight w:val="830" w:hRule="atLeast"/>
        </w:trPr>
        <w:tc>
          <w:tcPr>
            <w:tcW w:w="140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技术推广</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(12分)</w:t>
            </w:r>
          </w:p>
        </w:tc>
        <w:tc>
          <w:tcPr>
            <w:tcW w:w="14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培训交流</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1.每年至少开展2次儿童早期发展适宜技术培训，积极组织开展或承办国家级、市级儿童早期发展相关会议、培训等交流。</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585" w:hRule="atLeast"/>
        </w:trPr>
        <w:tc>
          <w:tcPr>
            <w:tcW w:w="1407"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141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2.每年对辖区基层医疗卫生机构开展儿童早期发展培训，机构覆盖率达到100%。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1</w:t>
            </w:r>
          </w:p>
        </w:tc>
      </w:tr>
      <w:tr>
        <w:tblPrEx>
          <w:tblCellMar>
            <w:top w:w="15" w:type="dxa"/>
            <w:left w:w="15" w:type="dxa"/>
            <w:bottom w:w="15" w:type="dxa"/>
            <w:right w:w="15" w:type="dxa"/>
          </w:tblCellMar>
        </w:tblPrEx>
        <w:trPr>
          <w:trHeight w:val="62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业务指导</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（6分）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1.对辖区基层医疗卫生机构和其他机构开展儿童早期发展服务业务指导，指导率达到100%。</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2</w:t>
            </w:r>
          </w:p>
        </w:tc>
      </w:tr>
      <w:tr>
        <w:tblPrEx>
          <w:tblCellMar>
            <w:top w:w="15" w:type="dxa"/>
            <w:left w:w="15" w:type="dxa"/>
            <w:bottom w:w="15" w:type="dxa"/>
            <w:right w:w="15" w:type="dxa"/>
          </w:tblCellMar>
        </w:tblPrEx>
        <w:trPr>
          <w:trHeight w:val="90" w:hRule="atLeast"/>
        </w:trPr>
        <w:tc>
          <w:tcPr>
            <w:tcW w:w="1407"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2.为辖区相关医疗机</w:t>
            </w:r>
            <w:r>
              <w:rPr>
                <w:rFonts w:hint="eastAsia" w:ascii="仿宋_GB2312" w:hAnsi="仿宋_GB2312" w:eastAsia="仿宋_GB2312" w:cs="仿宋_GB2312"/>
                <w:color w:val="auto"/>
                <w:kern w:val="0"/>
                <w:sz w:val="24"/>
                <w:szCs w:val="24"/>
                <w:highlight w:val="none"/>
              </w:rPr>
              <w:t>构提供下基层门诊和</w:t>
            </w:r>
            <w:r>
              <w:rPr>
                <w:rFonts w:hint="eastAsia" w:ascii="仿宋_GB2312" w:hAnsi="仿宋_GB2312" w:eastAsia="仿宋_GB2312" w:cs="仿宋_GB2312"/>
                <w:kern w:val="0"/>
                <w:sz w:val="24"/>
                <w:szCs w:val="24"/>
                <w:highlight w:val="none"/>
              </w:rPr>
              <w:t>进修等条件；</w:t>
            </w:r>
            <w:r>
              <w:rPr>
                <w:rFonts w:hint="eastAsia" w:ascii="仿宋_GB2312" w:hAnsi="仿宋_GB2312" w:eastAsia="仿宋_GB2312" w:cs="仿宋_GB2312"/>
                <w:color w:val="auto"/>
                <w:kern w:val="0"/>
                <w:sz w:val="24"/>
                <w:szCs w:val="24"/>
                <w:highlight w:val="none"/>
              </w:rPr>
              <w:t>因地制宜开展儿童早期发展适宜技术进社区服务，为儿童及家庭提供常态化、规范化儿童早期发展服务。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bidi="ar"/>
              </w:rPr>
              <w:t>4</w:t>
            </w:r>
          </w:p>
        </w:tc>
      </w:tr>
      <w:tr>
        <w:tblPrEx>
          <w:tblCellMar>
            <w:top w:w="15" w:type="dxa"/>
            <w:left w:w="15" w:type="dxa"/>
            <w:bottom w:w="15" w:type="dxa"/>
            <w:right w:w="15" w:type="dxa"/>
          </w:tblCellMar>
        </w:tblPrEx>
        <w:trPr>
          <w:trHeight w:val="775" w:hRule="atLeast"/>
        </w:trPr>
        <w:tc>
          <w:tcPr>
            <w:tcW w:w="140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szCs w:val="24"/>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科学研究</w:t>
            </w:r>
          </w:p>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（3分）</w:t>
            </w:r>
          </w:p>
        </w:tc>
        <w:tc>
          <w:tcPr>
            <w:tcW w:w="96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auto"/>
                <w:kern w:val="0"/>
                <w:sz w:val="24"/>
                <w:szCs w:val="24"/>
                <w:highlight w:val="none"/>
              </w:rPr>
              <w:t>近3年承担与儿童早期发展有关的区级及以上科研项目、课题；有核心期刊论文发表；通过开展儿童早期发展服务内容应用性研究，进行现有业务效果评价、新业务发展方向探索和应用。</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3</w:t>
            </w:r>
          </w:p>
        </w:tc>
      </w:tr>
    </w:tbl>
    <w:p>
      <w:pPr>
        <w:widowControl/>
        <w:jc w:val="left"/>
        <w:textAlignment w:val="center"/>
        <w:rPr>
          <w:rFonts w:hint="eastAsia" w:ascii="仿宋" w:hAnsi="仿宋" w:eastAsia="仿宋" w:cs="仿宋"/>
          <w:sz w:val="24"/>
          <w:szCs w:val="24"/>
          <w:highlight w:val="none"/>
        </w:rPr>
      </w:pPr>
    </w:p>
    <w:p>
      <w:pPr>
        <w:widowControl/>
        <w:jc w:val="left"/>
        <w:textAlignment w:val="center"/>
        <w:rPr>
          <w:rFonts w:hint="eastAsia" w:ascii="黑体" w:hAnsi="黑体" w:eastAsia="黑体" w:cs="黑体"/>
          <w:sz w:val="24"/>
          <w:szCs w:val="24"/>
          <w:highlight w:val="none"/>
        </w:rPr>
        <w:sectPr>
          <w:pgSz w:w="16838" w:h="11906" w:orient="landscape"/>
          <w:pgMar w:top="1803" w:right="1440" w:bottom="1803" w:left="1440" w:header="851" w:footer="1531" w:gutter="0"/>
          <w:pgNumType w:fmt="numberInDash"/>
          <w:cols w:space="720" w:num="1"/>
          <w:rtlGutter w:val="0"/>
          <w:docGrid w:type="lines" w:linePitch="312" w:charSpace="0"/>
        </w:sectPr>
      </w:pPr>
      <w:r>
        <w:rPr>
          <w:rFonts w:hint="eastAsia" w:ascii="黑体" w:hAnsi="黑体" w:eastAsia="黑体" w:cs="黑体"/>
          <w:sz w:val="24"/>
          <w:szCs w:val="24"/>
          <w:highlight w:val="none"/>
        </w:rPr>
        <w:t>注：85分及以上者为合格。</w:t>
      </w:r>
    </w:p>
    <w:p>
      <w:pPr>
        <w:widowControl/>
        <w:jc w:val="left"/>
        <w:textAlignment w:val="center"/>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附件2</w:t>
      </w:r>
    </w:p>
    <w:p>
      <w:pPr>
        <w:shd w:val="clear" w:color="auto" w:fill="FFFFFF"/>
        <w:adjustRightInd w:val="0"/>
        <w:snapToGrid w:val="0"/>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北京市儿童健康友好社区标准（2021年版）</w:t>
      </w:r>
    </w:p>
    <w:p>
      <w:pPr>
        <w:snapToGrid w:val="0"/>
        <w:spacing w:line="360" w:lineRule="auto"/>
        <w:jc w:val="center"/>
        <w:rPr>
          <w:rFonts w:eastAsia="Times New Roman"/>
          <w:highlight w:val="none"/>
        </w:rPr>
      </w:pPr>
    </w:p>
    <w:tbl>
      <w:tblPr>
        <w:tblStyle w:val="2"/>
        <w:tblW w:w="0" w:type="auto"/>
        <w:tblInd w:w="93" w:type="dxa"/>
        <w:tblLayout w:type="fixed"/>
        <w:tblCellMar>
          <w:top w:w="0" w:type="dxa"/>
          <w:left w:w="108" w:type="dxa"/>
          <w:bottom w:w="0" w:type="dxa"/>
          <w:right w:w="108" w:type="dxa"/>
        </w:tblCellMar>
      </w:tblPr>
      <w:tblGrid>
        <w:gridCol w:w="1422"/>
        <w:gridCol w:w="1395"/>
        <w:gridCol w:w="9690"/>
        <w:gridCol w:w="1553"/>
      </w:tblGrid>
      <w:tr>
        <w:tblPrEx>
          <w:tblCellMar>
            <w:top w:w="0" w:type="dxa"/>
            <w:left w:w="108" w:type="dxa"/>
            <w:bottom w:w="0" w:type="dxa"/>
            <w:right w:w="108" w:type="dxa"/>
          </w:tblCellMar>
        </w:tblPrEx>
        <w:trPr>
          <w:trHeight w:val="558" w:hRule="atLeast"/>
        </w:trPr>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评估指标</w:t>
            </w:r>
          </w:p>
        </w:tc>
        <w:tc>
          <w:tcPr>
            <w:tcW w:w="9690" w:type="dxa"/>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评估内容</w:t>
            </w:r>
          </w:p>
        </w:tc>
        <w:tc>
          <w:tcPr>
            <w:tcW w:w="1553" w:type="dxa"/>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分值（分）</w:t>
            </w:r>
          </w:p>
        </w:tc>
      </w:tr>
      <w:tr>
        <w:tblPrEx>
          <w:tblCellMar>
            <w:top w:w="0" w:type="dxa"/>
            <w:left w:w="108" w:type="dxa"/>
            <w:bottom w:w="0" w:type="dxa"/>
            <w:right w:w="108" w:type="dxa"/>
          </w:tblCellMar>
        </w:tblPrEx>
        <w:trPr>
          <w:trHeight w:val="599" w:hRule="atLeast"/>
        </w:trPr>
        <w:tc>
          <w:tcPr>
            <w:tcW w:w="14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sz w:val="28"/>
                <w:szCs w:val="28"/>
                <w:highlight w:val="none"/>
              </w:rPr>
            </w:pPr>
            <w:r>
              <w:rPr>
                <w:rFonts w:hint="eastAsia" w:ascii="仿宋_GB2312" w:hAnsi="仿宋_GB2312" w:eastAsia="仿宋_GB2312" w:cs="仿宋_GB2312"/>
                <w:kern w:val="0"/>
                <w:sz w:val="24"/>
                <w:szCs w:val="24"/>
                <w:highlight w:val="none"/>
              </w:rPr>
              <w:t>一级指标</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黑体" w:hAnsi="黑体" w:eastAsia="黑体" w:cs="黑体"/>
                <w:color w:val="auto"/>
                <w:sz w:val="28"/>
                <w:szCs w:val="28"/>
                <w:highlight w:val="none"/>
              </w:rPr>
            </w:pPr>
            <w:r>
              <w:rPr>
                <w:rFonts w:hint="eastAsia" w:ascii="仿宋_GB2312" w:hAnsi="仿宋_GB2312" w:eastAsia="仿宋_GB2312" w:cs="仿宋_GB2312"/>
                <w:kern w:val="0"/>
                <w:sz w:val="24"/>
                <w:szCs w:val="24"/>
                <w:highlight w:val="none"/>
              </w:rPr>
              <w:t>二级指标</w:t>
            </w:r>
          </w:p>
        </w:tc>
        <w:tc>
          <w:tcPr>
            <w:tcW w:w="9690" w:type="dxa"/>
            <w:vMerge w:val="continue"/>
            <w:tcBorders>
              <w:left w:val="nil"/>
              <w:bottom w:val="single" w:color="auto" w:sz="4" w:space="0"/>
              <w:right w:val="single" w:color="auto" w:sz="4" w:space="0"/>
            </w:tcBorders>
            <w:noWrap w:val="0"/>
            <w:vAlign w:val="center"/>
          </w:tcPr>
          <w:p>
            <w:pPr>
              <w:jc w:val="center"/>
              <w:rPr>
                <w:rFonts w:hint="eastAsia" w:ascii="黑体" w:hAnsi="黑体" w:eastAsia="黑体" w:cs="黑体"/>
                <w:color w:val="auto"/>
                <w:sz w:val="28"/>
                <w:szCs w:val="28"/>
                <w:highlight w:val="none"/>
              </w:rPr>
            </w:pPr>
          </w:p>
        </w:tc>
        <w:tc>
          <w:tcPr>
            <w:tcW w:w="1553" w:type="dxa"/>
            <w:vMerge w:val="continue"/>
            <w:tcBorders>
              <w:left w:val="nil"/>
              <w:bottom w:val="single" w:color="auto" w:sz="4" w:space="0"/>
              <w:right w:val="single" w:color="auto" w:sz="4" w:space="0"/>
            </w:tcBorders>
            <w:noWrap w:val="0"/>
            <w:vAlign w:val="center"/>
          </w:tcPr>
          <w:p>
            <w:pPr>
              <w:jc w:val="center"/>
              <w:rPr>
                <w:rFonts w:hint="eastAsia" w:ascii="黑体" w:hAnsi="黑体" w:eastAsia="黑体" w:cs="黑体"/>
                <w:color w:val="auto"/>
                <w:sz w:val="28"/>
                <w:szCs w:val="28"/>
                <w:highlight w:val="none"/>
              </w:rPr>
            </w:pPr>
          </w:p>
        </w:tc>
      </w:tr>
      <w:tr>
        <w:tblPrEx>
          <w:tblCellMar>
            <w:top w:w="0" w:type="dxa"/>
            <w:left w:w="108" w:type="dxa"/>
            <w:bottom w:w="0" w:type="dxa"/>
            <w:right w:w="108" w:type="dxa"/>
          </w:tblCellMar>
        </w:tblPrEx>
        <w:trPr>
          <w:trHeight w:val="602" w:hRule="atLeast"/>
        </w:trPr>
        <w:tc>
          <w:tcPr>
            <w:tcW w:w="142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友好环境（20分）</w:t>
            </w:r>
          </w:p>
          <w:p>
            <w:pPr>
              <w:jc w:val="center"/>
              <w:rPr>
                <w:rFonts w:hint="eastAsia"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服务设施</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对儿童早期发展提供持续性投入，设有标识明显的哺乳室、咨询室、健康教育室等。</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r>
      <w:tr>
        <w:tblPrEx>
          <w:tblCellMar>
            <w:top w:w="0" w:type="dxa"/>
            <w:left w:w="108" w:type="dxa"/>
            <w:bottom w:w="0" w:type="dxa"/>
            <w:right w:w="108" w:type="dxa"/>
          </w:tblCellMar>
        </w:tblPrEx>
        <w:trPr>
          <w:trHeight w:val="527" w:hRule="atLeast"/>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服务设备</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儿童保健服务设施设备齐全，诊室设有儿童营养教学模具、亲子活动玩教具和图书等家庭指导用具等；按照爱婴社区建设要求，哺乳室设施设备齐全。</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270" w:hRule="atLeast"/>
        </w:trPr>
        <w:tc>
          <w:tcPr>
            <w:tcW w:w="14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服务环境</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门诊、候诊等主要公共场所符合儿童安全要求和无障碍要求，布置整洁、符合儿童心理发育特点，设有儿童洗手池等儿童便利设备。在大厅、候诊场所，通过电子媒体开展儿童健康教育传播，营造健康传播良好氛围。</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687" w:hRule="atLeast"/>
        </w:trPr>
        <w:tc>
          <w:tcPr>
            <w:tcW w:w="1422" w:type="dxa"/>
            <w:vMerge w:val="restart"/>
            <w:tcBorders>
              <w:top w:val="single" w:color="auto" w:sz="4" w:space="0"/>
              <w:left w:val="single" w:color="auto" w:sz="4" w:space="0"/>
              <w:right w:val="single" w:color="auto" w:sz="4" w:space="0"/>
            </w:tcBorders>
            <w:noWrap w:val="0"/>
            <w:vAlign w:val="center"/>
          </w:tcPr>
          <w:p>
            <w:pPr>
              <w:ind w:right="6"/>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友好服务（50）</w:t>
            </w:r>
          </w:p>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服务规划</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将儿童早期发展服务、爱婴服务等纳入本机构整体发展规划。</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r>
      <w:tr>
        <w:tblPrEx>
          <w:tblCellMar>
            <w:top w:w="0" w:type="dxa"/>
            <w:left w:w="108" w:type="dxa"/>
            <w:bottom w:w="0" w:type="dxa"/>
            <w:right w:w="108" w:type="dxa"/>
          </w:tblCellMar>
        </w:tblPrEx>
        <w:trPr>
          <w:trHeight w:val="270"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服务指标</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儿童保健服务规范，本机构0-6岁儿童健康服务率≥98%，0-6岁儿童残疾筛查阳性儿童转诊率≥60%。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r>
      <w:tr>
        <w:tblPrEx>
          <w:tblCellMar>
            <w:top w:w="0" w:type="dxa"/>
            <w:left w:w="108" w:type="dxa"/>
            <w:bottom w:w="0" w:type="dxa"/>
            <w:right w:w="108" w:type="dxa"/>
          </w:tblCellMar>
        </w:tblPrEx>
        <w:trPr>
          <w:trHeight w:val="270" w:hRule="atLeast"/>
        </w:trPr>
        <w:tc>
          <w:tcPr>
            <w:tcW w:w="1422"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服务特色</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开展儿童早期发展特色服务项目：</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color w:val="auto"/>
                <w:sz w:val="24"/>
                <w:szCs w:val="24"/>
                <w:highlight w:val="none"/>
              </w:rPr>
              <w:t>应用</w:t>
            </w:r>
            <w:r>
              <w:rPr>
                <w:rFonts w:hint="eastAsia" w:ascii="仿宋_GB2312" w:hAnsi="仿宋_GB2312" w:eastAsia="仿宋_GB2312" w:cs="仿宋_GB2312"/>
                <w:sz w:val="24"/>
                <w:szCs w:val="24"/>
                <w:highlight w:val="none"/>
              </w:rPr>
              <w:t>儿童膳食营养评价工具，</w:t>
            </w:r>
            <w:r>
              <w:rPr>
                <w:rFonts w:hint="eastAsia" w:ascii="仿宋_GB2312" w:hAnsi="仿宋_GB2312" w:eastAsia="仿宋_GB2312" w:cs="仿宋_GB2312"/>
                <w:color w:val="auto"/>
                <w:sz w:val="24"/>
                <w:szCs w:val="24"/>
                <w:highlight w:val="none"/>
              </w:rPr>
              <w:t>开展儿童营养和喂养评价。指导辅食添加频次和种类规范。</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2.设置母乳喂养咨询门诊、咨询热线电话或线上咨询途径等，为孕产妇提供母乳喂养咨询指导。</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3.对生长迟缓、贫血、超重、肥胖等儿童制定个性化干预方案，建立专案管理，提供转诊和随访</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管理。</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4.开展高危儿筛查和</w:t>
            </w:r>
            <w:r>
              <w:rPr>
                <w:rFonts w:hint="eastAsia" w:ascii="仿宋_GB2312" w:hAnsi="仿宋_GB2312" w:eastAsia="仿宋_GB2312" w:cs="仿宋_GB2312"/>
                <w:color w:val="auto"/>
                <w:sz w:val="24"/>
                <w:szCs w:val="24"/>
                <w:highlight w:val="none"/>
              </w:rPr>
              <w:t>高危儿专案管理，开展低危早产儿保健服务。</w:t>
            </w:r>
          </w:p>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color w:val="auto"/>
                <w:sz w:val="24"/>
                <w:szCs w:val="24"/>
                <w:highlight w:val="none"/>
              </w:rPr>
              <w:t>提供0-3岁儿童口腔检查、口腔卫生指导、饮食指导和预防为主的临床诊疗等口腔健康服务管理。</w:t>
            </w:r>
          </w:p>
          <w:p>
            <w:pPr>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6.通过中医按摩、推拿、儿童体质辨识等中医保健方法为不同月龄段儿童提供常见病预防和治疗。</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r>
      <w:tr>
        <w:tblPrEx>
          <w:tblCellMar>
            <w:top w:w="0" w:type="dxa"/>
            <w:left w:w="108" w:type="dxa"/>
            <w:bottom w:w="0" w:type="dxa"/>
            <w:right w:w="108" w:type="dxa"/>
          </w:tblCellMar>
        </w:tblPrEx>
        <w:trPr>
          <w:trHeight w:val="270" w:hRule="atLeast"/>
        </w:trPr>
        <w:tc>
          <w:tcPr>
            <w:tcW w:w="1422" w:type="dxa"/>
            <w:vMerge w:val="restart"/>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友好照护（16分）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咨询指导</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通过咨询、开展健康教育活动等</w:t>
            </w:r>
            <w:r>
              <w:rPr>
                <w:rFonts w:hint="eastAsia" w:ascii="仿宋_GB2312" w:hAnsi="仿宋_GB2312" w:eastAsia="仿宋_GB2312" w:cs="仿宋_GB2312"/>
                <w:snapToGrid w:val="0"/>
                <w:sz w:val="24"/>
                <w:szCs w:val="24"/>
                <w:highlight w:val="none"/>
              </w:rPr>
              <w:t>方式，普及儿童早期发展相关知识，</w:t>
            </w:r>
            <w:r>
              <w:rPr>
                <w:rFonts w:hint="eastAsia" w:ascii="仿宋_GB2312" w:hAnsi="仿宋_GB2312" w:eastAsia="仿宋_GB2312" w:cs="仿宋_GB2312"/>
                <w:sz w:val="24"/>
                <w:szCs w:val="24"/>
                <w:highlight w:val="none"/>
              </w:rPr>
              <w:t>指导家庭重视与儿童玩耍交流等养育方式在儿童早期发展中重要作用，指导父母和家庭育儿技能，提供养育人营养、喂养、交流、玩耍、安全、卫生等儿童早期发展建议。</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CellMar>
            <w:top w:w="0" w:type="dxa"/>
            <w:left w:w="108" w:type="dxa"/>
            <w:bottom w:w="0" w:type="dxa"/>
            <w:right w:w="108" w:type="dxa"/>
          </w:tblCellMar>
        </w:tblPrEx>
        <w:trPr>
          <w:trHeight w:val="270"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风险评估</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开展儿童</w:t>
            </w:r>
            <w:r>
              <w:rPr>
                <w:rFonts w:hint="eastAsia" w:ascii="仿宋_GB2312" w:hAnsi="仿宋_GB2312" w:eastAsia="仿宋_GB2312" w:cs="仿宋_GB2312"/>
                <w:sz w:val="24"/>
                <w:szCs w:val="24"/>
                <w:highlight w:val="none"/>
              </w:rPr>
              <w:t>家庭养育风险筛查，对筛查阳性儿童家庭提供针对性儿童</w:t>
            </w:r>
            <w:r>
              <w:rPr>
                <w:rFonts w:ascii="仿宋_GB2312" w:hAnsi="仿宋_GB2312" w:eastAsia="仿宋_GB2312" w:cs="仿宋_GB2312"/>
                <w:sz w:val="24"/>
                <w:szCs w:val="24"/>
                <w:highlight w:val="none"/>
              </w:rPr>
              <w:t>早期发展</w:t>
            </w:r>
            <w:r>
              <w:rPr>
                <w:rFonts w:hint="eastAsia" w:ascii="仿宋_GB2312" w:hAnsi="仿宋_GB2312" w:eastAsia="仿宋_GB2312" w:cs="仿宋_GB2312"/>
                <w:sz w:val="24"/>
                <w:szCs w:val="24"/>
                <w:highlight w:val="none"/>
              </w:rPr>
              <w:t>咨询指导服务，</w:t>
            </w:r>
            <w:r>
              <w:rPr>
                <w:rFonts w:ascii="仿宋_GB2312" w:hAnsi="仿宋_GB2312" w:eastAsia="仿宋_GB2312" w:cs="仿宋_GB2312"/>
                <w:sz w:val="24"/>
                <w:szCs w:val="24"/>
                <w:highlight w:val="none"/>
              </w:rPr>
              <w:t>必要时转诊</w:t>
            </w:r>
            <w:r>
              <w:rPr>
                <w:rFonts w:hint="eastAsia" w:ascii="仿宋_GB2312" w:hAnsi="仿宋_GB2312" w:eastAsia="仿宋_GB2312" w:cs="仿宋_GB2312"/>
                <w:sz w:val="24"/>
                <w:szCs w:val="24"/>
                <w:highlight w:val="none"/>
              </w:rPr>
              <w:t>。</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557"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bCs/>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服务效果</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家长6个月内婴儿纯母乳喂养和2岁以上母乳喂养知识知晓率达到80%以上，婴幼儿喂养健康教育核心信息知晓率达到80%以上。</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r>
      <w:tr>
        <w:tblPrEx>
          <w:tblCellMar>
            <w:top w:w="0" w:type="dxa"/>
            <w:left w:w="108" w:type="dxa"/>
            <w:bottom w:w="0" w:type="dxa"/>
            <w:right w:w="108" w:type="dxa"/>
          </w:tblCellMar>
        </w:tblPrEx>
        <w:trPr>
          <w:trHeight w:val="738" w:hRule="atLeast"/>
        </w:trPr>
        <w:tc>
          <w:tcPr>
            <w:tcW w:w="1422" w:type="dxa"/>
            <w:vMerge w:val="restart"/>
            <w:tcBorders>
              <w:top w:val="single" w:color="auto" w:sz="4" w:space="0"/>
              <w:left w:val="single" w:color="auto" w:sz="4" w:space="0"/>
              <w:right w:val="single" w:color="auto" w:sz="4" w:space="0"/>
            </w:tcBorders>
            <w:noWrap w:val="0"/>
            <w:vAlign w:val="center"/>
          </w:tcPr>
          <w:p>
            <w:pPr>
              <w:ind w:right="6"/>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友好合作（14分）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服务整合</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将母乳喂养融入妇女保健、儿童保健、中医服务等健康服务中，持续性开展母乳喂养咨询指导。</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tblPrEx>
          <w:tblCellMar>
            <w:top w:w="0" w:type="dxa"/>
            <w:left w:w="108" w:type="dxa"/>
            <w:bottom w:w="0" w:type="dxa"/>
            <w:right w:w="108" w:type="dxa"/>
          </w:tblCellMar>
        </w:tblPrEx>
        <w:trPr>
          <w:trHeight w:val="738" w:hRule="atLeast"/>
        </w:trPr>
        <w:tc>
          <w:tcPr>
            <w:tcW w:w="1422"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服务融合</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rPr>
                <w:rFonts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rPr>
              <w:t>与社区相关单位合作，针对0-3岁儿童开展不同形式养育照护小组活动，</w:t>
            </w:r>
            <w:r>
              <w:rPr>
                <w:rFonts w:hint="eastAsia" w:ascii="仿宋_GB2312" w:hAnsi="仿宋_GB2312" w:eastAsia="仿宋_GB2312" w:cs="仿宋_GB2312"/>
                <w:sz w:val="24"/>
                <w:szCs w:val="24"/>
                <w:highlight w:val="none"/>
              </w:rPr>
              <w:t>为家长提供促进儿童早期发展亲子活动示范，提供健康教育、育儿分享、亲子活动</w:t>
            </w:r>
            <w:r>
              <w:rPr>
                <w:rFonts w:hint="eastAsia" w:ascii="仿宋_GB2312" w:hAnsi="仿宋_GB2312" w:eastAsia="仿宋_GB2312" w:cs="仿宋_GB2312"/>
                <w:sz w:val="24"/>
                <w:szCs w:val="24"/>
                <w:highlight w:val="none"/>
                <w:lang w:eastAsia="zh-CN"/>
              </w:rPr>
              <w:t>平台</w:t>
            </w:r>
            <w:r>
              <w:rPr>
                <w:rFonts w:hint="eastAsia" w:ascii="仿宋_GB2312" w:hAnsi="仿宋_GB2312" w:eastAsia="仿宋_GB2312" w:cs="仿宋_GB2312"/>
                <w:sz w:val="24"/>
                <w:szCs w:val="24"/>
                <w:highlight w:val="none"/>
              </w:rPr>
              <w:t>。</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r>
      <w:tr>
        <w:tblPrEx>
          <w:tblCellMar>
            <w:top w:w="0" w:type="dxa"/>
            <w:left w:w="108" w:type="dxa"/>
            <w:bottom w:w="0" w:type="dxa"/>
            <w:right w:w="108" w:type="dxa"/>
          </w:tblCellMar>
        </w:tblPrEx>
        <w:trPr>
          <w:trHeight w:val="738" w:hRule="atLeast"/>
        </w:trPr>
        <w:tc>
          <w:tcPr>
            <w:tcW w:w="1422"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服务结合</w:t>
            </w:r>
          </w:p>
        </w:tc>
        <w:tc>
          <w:tcPr>
            <w:tcW w:w="96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健康教育向家庭延伸，</w:t>
            </w:r>
            <w:r>
              <w:rPr>
                <w:rFonts w:hint="eastAsia" w:ascii="仿宋_GB2312" w:hAnsi="仿宋_GB2312" w:eastAsia="仿宋_GB2312" w:cs="仿宋_GB2312"/>
                <w:snapToGrid w:val="0"/>
                <w:sz w:val="24"/>
                <w:szCs w:val="24"/>
                <w:highlight w:val="none"/>
              </w:rPr>
              <w:t>充分利用线上</w:t>
            </w:r>
            <w:r>
              <w:rPr>
                <w:rFonts w:hint="eastAsia" w:ascii="仿宋_GB2312" w:hAnsi="仿宋_GB2312" w:eastAsia="仿宋_GB2312" w:cs="仿宋_GB2312"/>
                <w:sz w:val="24"/>
                <w:szCs w:val="24"/>
                <w:highlight w:val="none"/>
              </w:rPr>
              <w:t>微信公众号、视频号等</w:t>
            </w:r>
            <w:r>
              <w:rPr>
                <w:rFonts w:hint="eastAsia" w:ascii="仿宋_GB2312" w:hAnsi="仿宋_GB2312" w:eastAsia="仿宋_GB2312" w:cs="仿宋_GB2312"/>
                <w:snapToGrid w:val="0"/>
                <w:sz w:val="24"/>
                <w:szCs w:val="24"/>
                <w:highlight w:val="none"/>
              </w:rPr>
              <w:t>多媒体</w:t>
            </w:r>
            <w:r>
              <w:rPr>
                <w:rFonts w:hint="eastAsia" w:ascii="仿宋_GB2312" w:hAnsi="仿宋_GB2312" w:eastAsia="仿宋_GB2312" w:cs="仿宋_GB2312"/>
                <w:color w:val="auto"/>
                <w:sz w:val="24"/>
                <w:szCs w:val="24"/>
                <w:highlight w:val="none"/>
              </w:rPr>
              <w:t>手段定期发布儿童健康知识，推荐儿童家长阅读。</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4</w:t>
            </w:r>
          </w:p>
        </w:tc>
      </w:tr>
    </w:tbl>
    <w:p>
      <w:pPr>
        <w:adjustRightInd w:val="0"/>
        <w:snapToGrid w:val="0"/>
        <w:rPr>
          <w:rFonts w:ascii="仿宋_GB2312" w:hAnsi="仿宋"/>
          <w:sz w:val="20"/>
          <w:szCs w:val="20"/>
          <w:highlight w:val="none"/>
        </w:rPr>
      </w:pPr>
    </w:p>
    <w:p>
      <w:pPr>
        <w:widowControl/>
        <w:jc w:val="left"/>
        <w:textAlignment w:val="center"/>
        <w:rPr>
          <w:rFonts w:hint="eastAsia" w:ascii="黑体" w:hAnsi="黑体" w:eastAsia="黑体" w:cs="黑体"/>
          <w:sz w:val="24"/>
          <w:szCs w:val="24"/>
          <w:highlight w:val="none"/>
        </w:rPr>
        <w:sectPr>
          <w:pgSz w:w="16838" w:h="11906" w:orient="landscape"/>
          <w:pgMar w:top="1803" w:right="1440" w:bottom="1803" w:left="1440" w:header="851" w:footer="1531" w:gutter="0"/>
          <w:pgNumType w:fmt="numberInDash"/>
          <w:cols w:space="720" w:num="1"/>
          <w:rtlGutter w:val="0"/>
          <w:docGrid w:type="lines" w:linePitch="312" w:charSpace="0"/>
        </w:sectPr>
      </w:pPr>
      <w:r>
        <w:rPr>
          <w:rFonts w:hint="eastAsia" w:ascii="黑体" w:hAnsi="黑体" w:eastAsia="黑体" w:cs="黑体"/>
          <w:sz w:val="24"/>
          <w:szCs w:val="24"/>
          <w:highlight w:val="none"/>
        </w:rPr>
        <w:t>注：85分及以上者为合格。</w:t>
      </w:r>
    </w:p>
    <w:p>
      <w:pPr>
        <w:pStyle w:val="4"/>
        <w:adjustRightInd w:val="0"/>
        <w:snapToGrid w:val="0"/>
        <w:spacing w:line="336" w:lineRule="auto"/>
        <w:ind w:firstLine="0" w:firstLineChars="0"/>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附件3</w:t>
      </w:r>
    </w:p>
    <w:p>
      <w:pPr>
        <w:spacing w:line="600" w:lineRule="exact"/>
        <w:jc w:val="center"/>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bCs/>
          <w:kern w:val="0"/>
          <w:sz w:val="44"/>
          <w:szCs w:val="44"/>
          <w:highlight w:val="none"/>
        </w:rPr>
        <w:t>北京市儿童早期发展优质服务基地</w:t>
      </w:r>
      <w:r>
        <w:rPr>
          <w:rFonts w:hint="eastAsia" w:ascii="方正小标宋简体" w:hAnsi="宋体" w:eastAsia="方正小标宋简体" w:cs="黑体"/>
          <w:sz w:val="44"/>
          <w:szCs w:val="44"/>
          <w:highlight w:val="none"/>
        </w:rPr>
        <w:t>申报表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028"/>
        <w:gridCol w:w="222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auto"/>
                <w:kern w:val="0"/>
                <w:sz w:val="28"/>
                <w:szCs w:val="28"/>
                <w:highlight w:val="none"/>
              </w:rPr>
              <w:t>机构名称</w:t>
            </w:r>
          </w:p>
        </w:tc>
        <w:tc>
          <w:tcPr>
            <w:tcW w:w="3028" w:type="dxa"/>
            <w:noWrap w:val="0"/>
            <w:vAlign w:val="center"/>
          </w:tcPr>
          <w:p>
            <w:pPr>
              <w:spacing w:line="540" w:lineRule="exact"/>
              <w:rPr>
                <w:rFonts w:hint="eastAsia" w:ascii="方正小标宋简体" w:hAnsi="宋体" w:eastAsia="方正小标宋简体" w:cs="黑体"/>
                <w:sz w:val="28"/>
                <w:szCs w:val="28"/>
                <w:highlight w:val="none"/>
              </w:rPr>
            </w:pPr>
          </w:p>
        </w:tc>
        <w:tc>
          <w:tcPr>
            <w:tcW w:w="2229"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auto"/>
                <w:kern w:val="0"/>
                <w:sz w:val="28"/>
                <w:szCs w:val="28"/>
                <w:highlight w:val="none"/>
              </w:rPr>
              <w:t>自评成绩（分）</w:t>
            </w:r>
          </w:p>
        </w:tc>
        <w:tc>
          <w:tcPr>
            <w:tcW w:w="2923" w:type="dxa"/>
            <w:noWrap w:val="0"/>
            <w:vAlign w:val="center"/>
          </w:tcPr>
          <w:p>
            <w:pPr>
              <w:spacing w:line="540" w:lineRule="exact"/>
              <w:rPr>
                <w:rFonts w:hint="eastAsia" w:ascii="方正小标宋简体" w:hAnsi="宋体" w:eastAsia="方正小标宋简体" w:cs="黑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0" w:type="dxa"/>
            <w:noWrap w:val="0"/>
            <w:vAlign w:val="center"/>
          </w:tcPr>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工</w:t>
            </w:r>
          </w:p>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作</w:t>
            </w:r>
          </w:p>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情</w:t>
            </w:r>
          </w:p>
          <w:p>
            <w:pPr>
              <w:spacing w:line="48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况</w:t>
            </w:r>
          </w:p>
        </w:tc>
        <w:tc>
          <w:tcPr>
            <w:tcW w:w="8180" w:type="dxa"/>
            <w:gridSpan w:val="3"/>
            <w:noWrap w:val="0"/>
            <w:vAlign w:val="center"/>
          </w:tcPr>
          <w:p>
            <w:pPr>
              <w:spacing w:line="480" w:lineRule="exact"/>
              <w:jc w:val="left"/>
              <w:rPr>
                <w:rFonts w:hint="eastAsia" w:ascii="仿宋_GB2312" w:hAnsi="仿宋_GB2312" w:eastAsia="仿宋_GB2312" w:cs="仿宋_GB2312"/>
                <w:color w:val="auto"/>
                <w:kern w:val="0"/>
                <w:sz w:val="28"/>
                <w:szCs w:val="28"/>
                <w:highlight w:val="none"/>
              </w:rPr>
            </w:pPr>
          </w:p>
          <w:p>
            <w:pPr>
              <w:spacing w:line="480" w:lineRule="exact"/>
              <w:jc w:val="left"/>
              <w:rPr>
                <w:rFonts w:hint="eastAsia" w:ascii="仿宋_GB2312" w:hAnsi="仿宋_GB2312" w:eastAsia="仿宋_GB2312" w:cs="仿宋_GB2312"/>
                <w:color w:val="auto"/>
                <w:kern w:val="0"/>
                <w:sz w:val="28"/>
                <w:szCs w:val="28"/>
                <w:highlight w:val="none"/>
              </w:rPr>
            </w:pPr>
          </w:p>
          <w:p>
            <w:pPr>
              <w:spacing w:line="480" w:lineRule="exact"/>
              <w:jc w:val="left"/>
              <w:rPr>
                <w:rFonts w:hint="eastAsia" w:ascii="仿宋_GB2312" w:hAnsi="仿宋_GB2312" w:eastAsia="仿宋_GB2312" w:cs="仿宋_GB2312"/>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申报机构</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意见</w:t>
            </w:r>
          </w:p>
        </w:tc>
        <w:tc>
          <w:tcPr>
            <w:tcW w:w="8180" w:type="dxa"/>
            <w:gridSpan w:val="3"/>
            <w:noWrap w:val="0"/>
            <w:vAlign w:val="top"/>
          </w:tcPr>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单位盖章</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区级评估</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意见</w:t>
            </w:r>
          </w:p>
        </w:tc>
        <w:tc>
          <w:tcPr>
            <w:tcW w:w="8180" w:type="dxa"/>
            <w:gridSpan w:val="3"/>
            <w:noWrap w:val="0"/>
            <w:vAlign w:val="top"/>
          </w:tcPr>
          <w:p>
            <w:pPr>
              <w:spacing w:line="400" w:lineRule="exact"/>
              <w:jc w:val="center"/>
              <w:rPr>
                <w:rFonts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单位盖章</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市级评估</w:t>
            </w: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意见</w:t>
            </w:r>
          </w:p>
        </w:tc>
        <w:tc>
          <w:tcPr>
            <w:tcW w:w="8180" w:type="dxa"/>
            <w:gridSpan w:val="3"/>
            <w:noWrap w:val="0"/>
            <w:vAlign w:val="top"/>
          </w:tcPr>
          <w:p>
            <w:pPr>
              <w:spacing w:line="400" w:lineRule="exact"/>
              <w:jc w:val="center"/>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both"/>
              <w:rPr>
                <w:rFonts w:hint="eastAsia" w:ascii="仿宋_GB2312"/>
                <w:b/>
                <w:bCs/>
                <w:sz w:val="28"/>
                <w:szCs w:val="28"/>
                <w:highlight w:val="none"/>
              </w:rPr>
            </w:pPr>
          </w:p>
          <w:p>
            <w:pPr>
              <w:spacing w:line="400" w:lineRule="exact"/>
              <w:jc w:val="center"/>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单位盖章</w:t>
            </w: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宋体" w:eastAsia="仿宋_GB2312" w:cs="仿宋_GB2312"/>
                <w:sz w:val="28"/>
                <w:szCs w:val="28"/>
                <w:highlight w:val="none"/>
              </w:rPr>
              <w:t xml:space="preserve">                          年   月   日</w:t>
            </w:r>
          </w:p>
        </w:tc>
      </w:tr>
    </w:tbl>
    <w:p>
      <w:pPr>
        <w:spacing w:line="540" w:lineRule="exact"/>
        <w:jc w:val="center"/>
        <w:rPr>
          <w:rFonts w:hint="eastAsia" w:ascii="方正小标宋简体" w:hAnsi="宋体" w:eastAsia="方正小标宋简体" w:cs="黑体"/>
          <w:sz w:val="44"/>
          <w:szCs w:val="44"/>
          <w:highlight w:val="none"/>
        </w:rPr>
        <w:sectPr>
          <w:pgSz w:w="11906" w:h="16838"/>
          <w:pgMar w:top="2098" w:right="1474" w:bottom="1984" w:left="1587" w:header="851" w:footer="1531" w:gutter="0"/>
          <w:pgNumType w:fmt="numberInDash"/>
          <w:cols w:space="720" w:num="1"/>
          <w:rtlGutter w:val="0"/>
          <w:docGrid w:type="lines" w:linePitch="318" w:charSpace="0"/>
        </w:sectPr>
      </w:pPr>
    </w:p>
    <w:p>
      <w:pPr>
        <w:pStyle w:val="4"/>
        <w:adjustRightInd w:val="0"/>
        <w:snapToGrid w:val="0"/>
        <w:spacing w:line="336" w:lineRule="auto"/>
        <w:ind w:firstLine="0" w:firstLineChars="0"/>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附件4</w:t>
      </w:r>
    </w:p>
    <w:p>
      <w:pPr>
        <w:spacing w:line="540" w:lineRule="exact"/>
        <w:jc w:val="center"/>
        <w:rPr>
          <w:rFonts w:hint="eastAsia" w:ascii="方正小标宋简体" w:hAnsi="宋体" w:eastAsia="方正小标宋简体" w:cs="黑体"/>
          <w:sz w:val="44"/>
          <w:szCs w:val="44"/>
          <w:highlight w:val="none"/>
        </w:rPr>
      </w:pPr>
      <w:r>
        <w:rPr>
          <w:rFonts w:hint="eastAsia" w:ascii="方正小标宋简体" w:hAnsi="方正小标宋简体" w:eastAsia="方正小标宋简体" w:cs="方正小标宋简体"/>
          <w:bCs/>
          <w:kern w:val="0"/>
          <w:sz w:val="44"/>
          <w:szCs w:val="44"/>
          <w:highlight w:val="none"/>
        </w:rPr>
        <w:t>北京市儿童健康友好社区</w:t>
      </w:r>
      <w:r>
        <w:rPr>
          <w:rFonts w:hint="eastAsia" w:ascii="方正小标宋简体" w:hAnsi="宋体" w:eastAsia="方正小标宋简体" w:cs="黑体"/>
          <w:sz w:val="44"/>
          <w:szCs w:val="44"/>
          <w:highlight w:val="none"/>
        </w:rPr>
        <w:t>申报表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028"/>
        <w:gridCol w:w="222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000000"/>
                <w:kern w:val="0"/>
                <w:sz w:val="28"/>
                <w:szCs w:val="28"/>
                <w:highlight w:val="none"/>
              </w:rPr>
              <w:t>机构名称</w:t>
            </w:r>
          </w:p>
        </w:tc>
        <w:tc>
          <w:tcPr>
            <w:tcW w:w="3028" w:type="dxa"/>
            <w:noWrap w:val="0"/>
            <w:vAlign w:val="center"/>
          </w:tcPr>
          <w:p>
            <w:pPr>
              <w:spacing w:line="540" w:lineRule="exact"/>
              <w:rPr>
                <w:rFonts w:hint="eastAsia" w:ascii="方正小标宋简体" w:hAnsi="宋体" w:eastAsia="方正小标宋简体" w:cs="黑体"/>
                <w:sz w:val="28"/>
                <w:szCs w:val="28"/>
                <w:highlight w:val="none"/>
              </w:rPr>
            </w:pPr>
          </w:p>
        </w:tc>
        <w:tc>
          <w:tcPr>
            <w:tcW w:w="2229" w:type="dxa"/>
            <w:noWrap w:val="0"/>
            <w:vAlign w:val="center"/>
          </w:tcPr>
          <w:p>
            <w:pPr>
              <w:spacing w:line="540" w:lineRule="exact"/>
              <w:rPr>
                <w:rFonts w:hint="eastAsia" w:ascii="方正小标宋简体" w:hAnsi="宋体" w:eastAsia="方正小标宋简体" w:cs="黑体"/>
                <w:sz w:val="28"/>
                <w:szCs w:val="28"/>
                <w:highlight w:val="none"/>
              </w:rPr>
            </w:pPr>
            <w:r>
              <w:rPr>
                <w:rFonts w:hint="eastAsia" w:ascii="仿宋_GB2312" w:hAnsi="仿宋_GB2312" w:eastAsia="仿宋_GB2312" w:cs="仿宋_GB2312"/>
                <w:color w:val="000000"/>
                <w:kern w:val="0"/>
                <w:sz w:val="28"/>
                <w:szCs w:val="28"/>
                <w:highlight w:val="none"/>
              </w:rPr>
              <w:t>自评成绩（分）</w:t>
            </w:r>
          </w:p>
        </w:tc>
        <w:tc>
          <w:tcPr>
            <w:tcW w:w="2643" w:type="dxa"/>
            <w:noWrap w:val="0"/>
            <w:vAlign w:val="center"/>
          </w:tcPr>
          <w:p>
            <w:pPr>
              <w:spacing w:line="540" w:lineRule="exact"/>
              <w:rPr>
                <w:rFonts w:hint="eastAsia" w:ascii="方正小标宋简体" w:hAnsi="宋体" w:eastAsia="方正小标宋简体" w:cs="黑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430" w:type="dxa"/>
            <w:noWrap w:val="0"/>
            <w:vAlign w:val="center"/>
          </w:tcPr>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工</w:t>
            </w:r>
          </w:p>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作</w:t>
            </w:r>
          </w:p>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情</w:t>
            </w:r>
          </w:p>
          <w:p>
            <w:pPr>
              <w:spacing w:line="48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况</w:t>
            </w:r>
          </w:p>
        </w:tc>
        <w:tc>
          <w:tcPr>
            <w:tcW w:w="7900" w:type="dxa"/>
            <w:gridSpan w:val="3"/>
            <w:noWrap w:val="0"/>
            <w:vAlign w:val="center"/>
          </w:tcPr>
          <w:p>
            <w:pPr>
              <w:spacing w:line="480" w:lineRule="exact"/>
              <w:jc w:val="left"/>
              <w:rPr>
                <w:rFonts w:hint="eastAsia" w:ascii="仿宋_GB2312" w:hAnsi="仿宋_GB2312" w:eastAsia="仿宋_GB2312" w:cs="仿宋_GB2312"/>
                <w:color w:val="000000"/>
                <w:kern w:val="0"/>
                <w:sz w:val="28"/>
                <w:szCs w:val="28"/>
                <w:highlight w:val="none"/>
              </w:rPr>
            </w:pPr>
          </w:p>
          <w:p>
            <w:pPr>
              <w:spacing w:line="480" w:lineRule="exact"/>
              <w:jc w:val="left"/>
              <w:rPr>
                <w:rFonts w:hint="eastAsia" w:ascii="仿宋_GB2312" w:hAnsi="仿宋_GB2312" w:eastAsia="仿宋_GB2312" w:cs="仿宋_GB2312"/>
                <w:color w:val="000000"/>
                <w:kern w:val="0"/>
                <w:sz w:val="28"/>
                <w:szCs w:val="28"/>
                <w:highlight w:val="none"/>
              </w:rPr>
            </w:pPr>
          </w:p>
          <w:p>
            <w:pPr>
              <w:spacing w:line="480" w:lineRule="exact"/>
              <w:jc w:val="left"/>
              <w:rPr>
                <w:rFonts w:hint="eastAsia" w:ascii="仿宋_GB2312" w:hAnsi="仿宋_GB2312" w:eastAsia="仿宋_GB2312" w:cs="仿宋_GB2312"/>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申报机构</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意见</w:t>
            </w:r>
          </w:p>
        </w:tc>
        <w:tc>
          <w:tcPr>
            <w:tcW w:w="7900" w:type="dxa"/>
            <w:gridSpan w:val="3"/>
            <w:noWrap w:val="0"/>
            <w:vAlign w:val="top"/>
          </w:tcPr>
          <w:p>
            <w:pPr>
              <w:spacing w:line="400" w:lineRule="exact"/>
              <w:jc w:val="center"/>
              <w:rPr>
                <w:rFonts w:hint="eastAsia" w:ascii="仿宋_GB2312" w:hAnsi="仿宋_GB2312" w:eastAsia="仿宋_GB2312" w:cs="仿宋_GB2312"/>
                <w:color w:val="000000"/>
                <w:kern w:val="0"/>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p>
          <w:p/>
          <w:p>
            <w:pPr>
              <w:spacing w:line="400" w:lineRule="exact"/>
              <w:jc w:val="both"/>
              <w:rPr>
                <w:rFonts w:hint="eastAsia" w:ascii="仿宋_GB2312" w:hAnsi="仿宋_GB2312" w:eastAsia="仿宋_GB2312" w:cs="仿宋_GB2312"/>
                <w:color w:val="000000"/>
                <w:kern w:val="0"/>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单位盖章</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区级评估</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意见</w:t>
            </w:r>
          </w:p>
        </w:tc>
        <w:tc>
          <w:tcPr>
            <w:tcW w:w="7900" w:type="dxa"/>
            <w:gridSpan w:val="3"/>
            <w:noWrap w:val="0"/>
            <w:vAlign w:val="top"/>
          </w:tcPr>
          <w:p>
            <w:pPr>
              <w:spacing w:line="400" w:lineRule="exact"/>
              <w:jc w:val="center"/>
              <w:rPr>
                <w:rFonts w:ascii="仿宋_GB2312"/>
                <w:b/>
                <w:bCs/>
                <w:sz w:val="28"/>
                <w:szCs w:val="28"/>
                <w:highlight w:val="none"/>
              </w:rPr>
            </w:pPr>
          </w:p>
          <w:p>
            <w:pPr>
              <w:spacing w:line="400" w:lineRule="exact"/>
              <w:jc w:val="center"/>
              <w:rPr>
                <w:rFonts w:hint="eastAsia" w:ascii="仿宋_GB2312"/>
                <w:b/>
                <w:bCs/>
                <w:sz w:val="28"/>
                <w:szCs w:val="28"/>
                <w:highlight w:val="none"/>
              </w:rPr>
            </w:pPr>
          </w:p>
          <w:p/>
          <w:p/>
          <w:p>
            <w:pPr>
              <w:spacing w:line="400" w:lineRule="exact"/>
              <w:jc w:val="both"/>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单位盖章</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宋体" w:eastAsia="仿宋_GB2312" w:cs="仿宋_GB2312"/>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1430" w:type="dxa"/>
            <w:noWrap w:val="0"/>
            <w:vAlign w:val="center"/>
          </w:tcPr>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市级评估</w:t>
            </w: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意见</w:t>
            </w:r>
          </w:p>
        </w:tc>
        <w:tc>
          <w:tcPr>
            <w:tcW w:w="7900" w:type="dxa"/>
            <w:gridSpan w:val="3"/>
            <w:noWrap w:val="0"/>
            <w:vAlign w:val="top"/>
          </w:tcPr>
          <w:p>
            <w:pPr>
              <w:spacing w:line="400" w:lineRule="exact"/>
              <w:jc w:val="center"/>
              <w:rPr>
                <w:rFonts w:hint="eastAsia" w:ascii="仿宋_GB2312"/>
                <w:b/>
                <w:bCs/>
                <w:sz w:val="28"/>
                <w:szCs w:val="28"/>
                <w:highlight w:val="none"/>
              </w:rPr>
            </w:pPr>
          </w:p>
          <w:p/>
          <w:p>
            <w:pPr>
              <w:spacing w:line="400" w:lineRule="exact"/>
              <w:jc w:val="both"/>
              <w:rPr>
                <w:rFonts w:hint="eastAsia" w:ascii="仿宋_GB2312"/>
                <w:b/>
                <w:bCs/>
                <w:sz w:val="28"/>
                <w:szCs w:val="28"/>
                <w:highlight w:val="none"/>
              </w:rPr>
            </w:pPr>
          </w:p>
          <w:p/>
          <w:p>
            <w:pPr>
              <w:spacing w:line="400" w:lineRule="exact"/>
              <w:jc w:val="both"/>
              <w:rPr>
                <w:rFonts w:hint="eastAsia" w:ascii="仿宋_GB2312"/>
                <w:b/>
                <w:bCs/>
                <w:sz w:val="28"/>
                <w:szCs w:val="28"/>
                <w:highlight w:val="none"/>
              </w:rPr>
            </w:pPr>
          </w:p>
          <w:p>
            <w:pPr>
              <w:spacing w:line="40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单位盖章</w:t>
            </w:r>
          </w:p>
          <w:p>
            <w:pPr>
              <w:spacing w:line="400" w:lineRule="exact"/>
              <w:jc w:val="center"/>
              <w:rPr>
                <w:rFonts w:hint="eastAsia" w:ascii="仿宋_GB2312" w:hAnsi="仿宋_GB2312" w:eastAsia="仿宋_GB2312" w:cs="仿宋_GB2312"/>
                <w:b/>
                <w:bCs/>
                <w:sz w:val="28"/>
                <w:szCs w:val="28"/>
                <w:highlight w:val="none"/>
              </w:rPr>
            </w:pPr>
            <w:r>
              <w:rPr>
                <w:rFonts w:hint="eastAsia" w:ascii="仿宋_GB2312" w:hAnsi="宋体" w:eastAsia="仿宋_GB2312" w:cs="仿宋_GB2312"/>
                <w:sz w:val="28"/>
                <w:szCs w:val="28"/>
                <w:highlight w:val="none"/>
              </w:rPr>
              <w:t xml:space="preserve">                          年   月   日</w:t>
            </w:r>
          </w:p>
        </w:tc>
      </w:tr>
    </w:tbl>
    <w:p>
      <w:pPr>
        <w:ind w:right="600"/>
        <w:rPr>
          <w:rFonts w:hint="eastAsia" w:ascii="仿宋_GB2312" w:eastAsia="仿宋_GB2312"/>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52064"/>
    <w:multiLevelType w:val="singleLevel"/>
    <w:tmpl w:val="60E52064"/>
    <w:lvl w:ilvl="0" w:tentative="0">
      <w:start w:val="4"/>
      <w:numFmt w:val="decimal"/>
      <w:suff w:val="nothing"/>
      <w:lvlText w:val="%1."/>
      <w:lvlJc w:val="left"/>
    </w:lvl>
  </w:abstractNum>
  <w:abstractNum w:abstractNumId="1">
    <w:nsid w:val="60E52073"/>
    <w:multiLevelType w:val="singleLevel"/>
    <w:tmpl w:val="60E52073"/>
    <w:lvl w:ilvl="0" w:tentative="0">
      <w:start w:val="1"/>
      <w:numFmt w:val="decimal"/>
      <w:suff w:val="nothing"/>
      <w:lvlText w:val="（%1）"/>
      <w:lvlJc w:val="left"/>
    </w:lvl>
  </w:abstractNum>
  <w:abstractNum w:abstractNumId="2">
    <w:nsid w:val="60E521B9"/>
    <w:multiLevelType w:val="singleLevel"/>
    <w:tmpl w:val="60E521B9"/>
    <w:lvl w:ilvl="0" w:tentative="0">
      <w:start w:val="5"/>
      <w:numFmt w:val="decimal"/>
      <w:suff w:val="nothing"/>
      <w:lvlText w:val="%1."/>
      <w:lvlJc w:val="left"/>
    </w:lvl>
  </w:abstractNum>
  <w:abstractNum w:abstractNumId="3">
    <w:nsid w:val="60E521C8"/>
    <w:multiLevelType w:val="singleLevel"/>
    <w:tmpl w:val="60E521C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2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段"/>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2021-09-22T05:28:06Z</dcterms:created>
  <dc:creator>wu'x's</dc:creator>
  <cp:lastModifiedBy>mongolian</cp:lastModifiedBy>
  <dcterms:modified xsi:type="dcterms:W3CDTF">2021-09-22T05:28:21Z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DFF1C3F57A804186A24A82B9E2374181</vt:lpwstr>
  </property>
</Properties>
</file>