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8F3" w:rsidRDefault="007038F3" w:rsidP="007038F3">
      <w:pPr>
        <w:adjustRightInd w:val="0"/>
        <w:snapToGrid w:val="0"/>
        <w:rPr>
          <w:rFonts w:ascii="黑体" w:eastAsia="黑体" w:hAnsi="黑体" w:cs="黑体"/>
          <w:snapToGrid w:val="0"/>
          <w:kern w:val="0"/>
          <w:sz w:val="32"/>
          <w:szCs w:val="32"/>
        </w:rPr>
      </w:pPr>
      <w:r>
        <w:rPr>
          <w:rFonts w:ascii="黑体" w:eastAsia="黑体" w:hAnsi="黑体" w:cs="黑体" w:hint="eastAsia"/>
          <w:snapToGrid w:val="0"/>
          <w:kern w:val="0"/>
          <w:sz w:val="32"/>
          <w:szCs w:val="32"/>
        </w:rPr>
        <w:t>附件1</w:t>
      </w:r>
    </w:p>
    <w:p w:rsidR="007038F3" w:rsidRDefault="007038F3" w:rsidP="007038F3">
      <w:pPr>
        <w:adjustRightInd w:val="0"/>
        <w:snapToGrid w:val="0"/>
        <w:rPr>
          <w:rFonts w:ascii="方正仿宋_GBK" w:eastAsia="方正仿宋_GBK" w:cs="宋体"/>
          <w:snapToGrid w:val="0"/>
          <w:kern w:val="0"/>
          <w:sz w:val="32"/>
          <w:szCs w:val="32"/>
        </w:rPr>
      </w:pPr>
    </w:p>
    <w:p w:rsidR="007038F3" w:rsidRDefault="007038F3" w:rsidP="007038F3">
      <w:pPr>
        <w:adjustRightInd w:val="0"/>
        <w:jc w:val="center"/>
        <w:rPr>
          <w:rFonts w:ascii="方正小标宋简体" w:eastAsia="方正小标宋简体" w:hAnsi="方正小标宋简体" w:cs="方正小标宋简体"/>
          <w:snapToGrid w:val="0"/>
          <w:kern w:val="0"/>
          <w:sz w:val="40"/>
          <w:szCs w:val="40"/>
        </w:rPr>
      </w:pPr>
      <w:r>
        <w:rPr>
          <w:rFonts w:ascii="方正小标宋简体" w:eastAsia="方正小标宋简体" w:hAnsi="方正小标宋简体" w:cs="方正小标宋简体" w:hint="eastAsia"/>
          <w:snapToGrid w:val="0"/>
          <w:kern w:val="0"/>
          <w:sz w:val="40"/>
          <w:szCs w:val="40"/>
        </w:rPr>
        <w:t>湖北省2021年“健康企业”建设任务分配表</w:t>
      </w:r>
    </w:p>
    <w:tbl>
      <w:tblPr>
        <w:tblW w:w="48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3250"/>
        <w:gridCol w:w="4083"/>
      </w:tblGrid>
      <w:tr w:rsidR="007038F3" w:rsidTr="00751DBD">
        <w:trPr>
          <w:trHeight w:val="595"/>
          <w:jc w:val="center"/>
        </w:trPr>
        <w:tc>
          <w:tcPr>
            <w:tcW w:w="1294"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序号</w:t>
            </w:r>
          </w:p>
        </w:tc>
        <w:tc>
          <w:tcPr>
            <w:tcW w:w="3250"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地  区</w:t>
            </w:r>
          </w:p>
        </w:tc>
        <w:tc>
          <w:tcPr>
            <w:tcW w:w="4083"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建设企业数</w:t>
            </w:r>
          </w:p>
        </w:tc>
      </w:tr>
      <w:tr w:rsidR="007038F3" w:rsidTr="00751DBD">
        <w:trPr>
          <w:trHeight w:val="595"/>
          <w:jc w:val="center"/>
        </w:trPr>
        <w:tc>
          <w:tcPr>
            <w:tcW w:w="1294"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3250"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武  汉</w:t>
            </w:r>
          </w:p>
        </w:tc>
        <w:tc>
          <w:tcPr>
            <w:tcW w:w="4083"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38</w:t>
            </w:r>
          </w:p>
        </w:tc>
      </w:tr>
      <w:tr w:rsidR="007038F3" w:rsidTr="00751DBD">
        <w:trPr>
          <w:trHeight w:val="595"/>
          <w:jc w:val="center"/>
        </w:trPr>
        <w:tc>
          <w:tcPr>
            <w:tcW w:w="1294"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3250"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黄  石</w:t>
            </w:r>
          </w:p>
        </w:tc>
        <w:tc>
          <w:tcPr>
            <w:tcW w:w="4083"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14</w:t>
            </w:r>
          </w:p>
        </w:tc>
      </w:tr>
      <w:tr w:rsidR="007038F3" w:rsidTr="00751DBD">
        <w:trPr>
          <w:trHeight w:val="595"/>
          <w:jc w:val="center"/>
        </w:trPr>
        <w:tc>
          <w:tcPr>
            <w:tcW w:w="1294"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3250"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十  堰</w:t>
            </w:r>
          </w:p>
        </w:tc>
        <w:tc>
          <w:tcPr>
            <w:tcW w:w="4083"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14</w:t>
            </w:r>
          </w:p>
        </w:tc>
      </w:tr>
      <w:tr w:rsidR="007038F3" w:rsidTr="00751DBD">
        <w:trPr>
          <w:trHeight w:val="595"/>
          <w:jc w:val="center"/>
        </w:trPr>
        <w:tc>
          <w:tcPr>
            <w:tcW w:w="1294"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3250"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宜  昌</w:t>
            </w:r>
          </w:p>
        </w:tc>
        <w:tc>
          <w:tcPr>
            <w:tcW w:w="4083"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19</w:t>
            </w:r>
          </w:p>
        </w:tc>
      </w:tr>
      <w:tr w:rsidR="007038F3" w:rsidTr="00751DBD">
        <w:trPr>
          <w:trHeight w:val="595"/>
          <w:jc w:val="center"/>
        </w:trPr>
        <w:tc>
          <w:tcPr>
            <w:tcW w:w="1294"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3250"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襄</w:t>
            </w:r>
            <w:proofErr w:type="gramEnd"/>
            <w:r>
              <w:rPr>
                <w:rFonts w:ascii="仿宋_GB2312" w:eastAsia="仿宋_GB2312" w:hAnsi="仿宋_GB2312" w:cs="仿宋_GB2312" w:hint="eastAsia"/>
                <w:sz w:val="28"/>
                <w:szCs w:val="28"/>
              </w:rPr>
              <w:t xml:space="preserve">  阳</w:t>
            </w:r>
          </w:p>
        </w:tc>
        <w:tc>
          <w:tcPr>
            <w:tcW w:w="4083"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17</w:t>
            </w:r>
          </w:p>
        </w:tc>
      </w:tr>
      <w:tr w:rsidR="007038F3" w:rsidTr="00751DBD">
        <w:trPr>
          <w:trHeight w:val="595"/>
          <w:jc w:val="center"/>
        </w:trPr>
        <w:tc>
          <w:tcPr>
            <w:tcW w:w="1294"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3250"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鄂  州</w:t>
            </w:r>
          </w:p>
        </w:tc>
        <w:tc>
          <w:tcPr>
            <w:tcW w:w="4083"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r>
      <w:tr w:rsidR="007038F3" w:rsidTr="00751DBD">
        <w:trPr>
          <w:trHeight w:val="595"/>
          <w:jc w:val="center"/>
        </w:trPr>
        <w:tc>
          <w:tcPr>
            <w:tcW w:w="1294"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3250"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荆</w:t>
            </w:r>
            <w:proofErr w:type="gramEnd"/>
            <w:r>
              <w:rPr>
                <w:rFonts w:ascii="仿宋_GB2312" w:eastAsia="仿宋_GB2312" w:hAnsi="仿宋_GB2312" w:cs="仿宋_GB2312" w:hint="eastAsia"/>
                <w:sz w:val="28"/>
                <w:szCs w:val="28"/>
              </w:rPr>
              <w:t xml:space="preserve">  门</w:t>
            </w:r>
          </w:p>
        </w:tc>
        <w:tc>
          <w:tcPr>
            <w:tcW w:w="4083"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w:t>
            </w:r>
          </w:p>
        </w:tc>
      </w:tr>
      <w:tr w:rsidR="007038F3" w:rsidTr="00751DBD">
        <w:trPr>
          <w:trHeight w:val="595"/>
          <w:jc w:val="center"/>
        </w:trPr>
        <w:tc>
          <w:tcPr>
            <w:tcW w:w="1294"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3250"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孝  感</w:t>
            </w:r>
          </w:p>
        </w:tc>
        <w:tc>
          <w:tcPr>
            <w:tcW w:w="4083"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14</w:t>
            </w:r>
          </w:p>
        </w:tc>
      </w:tr>
      <w:tr w:rsidR="007038F3" w:rsidTr="00751DBD">
        <w:trPr>
          <w:trHeight w:val="595"/>
          <w:jc w:val="center"/>
        </w:trPr>
        <w:tc>
          <w:tcPr>
            <w:tcW w:w="1294"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c>
          <w:tcPr>
            <w:tcW w:w="3250"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荆</w:t>
            </w:r>
            <w:proofErr w:type="gramEnd"/>
            <w:r>
              <w:rPr>
                <w:rFonts w:ascii="仿宋_GB2312" w:eastAsia="仿宋_GB2312" w:hAnsi="仿宋_GB2312" w:cs="仿宋_GB2312" w:hint="eastAsia"/>
                <w:sz w:val="28"/>
                <w:szCs w:val="28"/>
              </w:rPr>
              <w:t xml:space="preserve">  州</w:t>
            </w:r>
          </w:p>
        </w:tc>
        <w:tc>
          <w:tcPr>
            <w:tcW w:w="4083"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14</w:t>
            </w:r>
          </w:p>
        </w:tc>
      </w:tr>
      <w:tr w:rsidR="007038F3" w:rsidTr="00751DBD">
        <w:trPr>
          <w:trHeight w:val="595"/>
          <w:jc w:val="center"/>
        </w:trPr>
        <w:tc>
          <w:tcPr>
            <w:tcW w:w="1294"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3250"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黄  冈</w:t>
            </w:r>
          </w:p>
        </w:tc>
        <w:tc>
          <w:tcPr>
            <w:tcW w:w="4083"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14</w:t>
            </w:r>
          </w:p>
        </w:tc>
      </w:tr>
      <w:tr w:rsidR="007038F3" w:rsidTr="00751DBD">
        <w:trPr>
          <w:trHeight w:val="595"/>
          <w:jc w:val="center"/>
        </w:trPr>
        <w:tc>
          <w:tcPr>
            <w:tcW w:w="1294"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11</w:t>
            </w:r>
          </w:p>
        </w:tc>
        <w:tc>
          <w:tcPr>
            <w:tcW w:w="3250"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咸  宁</w:t>
            </w:r>
          </w:p>
        </w:tc>
        <w:tc>
          <w:tcPr>
            <w:tcW w:w="4083"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w:t>
            </w:r>
          </w:p>
        </w:tc>
      </w:tr>
      <w:tr w:rsidR="007038F3" w:rsidTr="00751DBD">
        <w:trPr>
          <w:trHeight w:val="595"/>
          <w:jc w:val="center"/>
        </w:trPr>
        <w:tc>
          <w:tcPr>
            <w:tcW w:w="1294"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w:t>
            </w:r>
          </w:p>
        </w:tc>
        <w:tc>
          <w:tcPr>
            <w:tcW w:w="3250"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随  州</w:t>
            </w:r>
          </w:p>
        </w:tc>
        <w:tc>
          <w:tcPr>
            <w:tcW w:w="4083"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r>
      <w:tr w:rsidR="007038F3" w:rsidTr="00751DBD">
        <w:trPr>
          <w:trHeight w:val="595"/>
          <w:jc w:val="center"/>
        </w:trPr>
        <w:tc>
          <w:tcPr>
            <w:tcW w:w="1294"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w:t>
            </w:r>
          </w:p>
        </w:tc>
        <w:tc>
          <w:tcPr>
            <w:tcW w:w="3250"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恩  施</w:t>
            </w:r>
          </w:p>
        </w:tc>
        <w:tc>
          <w:tcPr>
            <w:tcW w:w="4083"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r>
      <w:tr w:rsidR="007038F3" w:rsidTr="00751DBD">
        <w:trPr>
          <w:trHeight w:val="595"/>
          <w:jc w:val="center"/>
        </w:trPr>
        <w:tc>
          <w:tcPr>
            <w:tcW w:w="1294"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14</w:t>
            </w:r>
          </w:p>
        </w:tc>
        <w:tc>
          <w:tcPr>
            <w:tcW w:w="3250"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仙</w:t>
            </w:r>
            <w:proofErr w:type="gramEnd"/>
            <w:r>
              <w:rPr>
                <w:rFonts w:ascii="仿宋_GB2312" w:eastAsia="仿宋_GB2312" w:hAnsi="仿宋_GB2312" w:cs="仿宋_GB2312" w:hint="eastAsia"/>
                <w:sz w:val="28"/>
                <w:szCs w:val="28"/>
              </w:rPr>
              <w:t xml:space="preserve">  桃</w:t>
            </w:r>
          </w:p>
        </w:tc>
        <w:tc>
          <w:tcPr>
            <w:tcW w:w="4083"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r>
      <w:tr w:rsidR="007038F3" w:rsidTr="00751DBD">
        <w:trPr>
          <w:trHeight w:val="595"/>
          <w:jc w:val="center"/>
        </w:trPr>
        <w:tc>
          <w:tcPr>
            <w:tcW w:w="1294"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c>
          <w:tcPr>
            <w:tcW w:w="3250"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潜  江</w:t>
            </w:r>
          </w:p>
        </w:tc>
        <w:tc>
          <w:tcPr>
            <w:tcW w:w="4083"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r>
      <w:tr w:rsidR="007038F3" w:rsidTr="00751DBD">
        <w:trPr>
          <w:trHeight w:val="595"/>
          <w:jc w:val="center"/>
        </w:trPr>
        <w:tc>
          <w:tcPr>
            <w:tcW w:w="1294"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16</w:t>
            </w:r>
          </w:p>
        </w:tc>
        <w:tc>
          <w:tcPr>
            <w:tcW w:w="3250"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天  门</w:t>
            </w:r>
          </w:p>
        </w:tc>
        <w:tc>
          <w:tcPr>
            <w:tcW w:w="4083"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r>
      <w:tr w:rsidR="007038F3" w:rsidTr="00751DBD">
        <w:trPr>
          <w:trHeight w:val="595"/>
          <w:jc w:val="center"/>
        </w:trPr>
        <w:tc>
          <w:tcPr>
            <w:tcW w:w="1294"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17</w:t>
            </w:r>
          </w:p>
        </w:tc>
        <w:tc>
          <w:tcPr>
            <w:tcW w:w="3250"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神农架林区</w:t>
            </w:r>
          </w:p>
        </w:tc>
        <w:tc>
          <w:tcPr>
            <w:tcW w:w="4083"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r>
      <w:tr w:rsidR="007038F3" w:rsidTr="00751DBD">
        <w:trPr>
          <w:trHeight w:val="595"/>
          <w:jc w:val="center"/>
        </w:trPr>
        <w:tc>
          <w:tcPr>
            <w:tcW w:w="4544" w:type="dxa"/>
            <w:gridSpan w:val="2"/>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合  计</w:t>
            </w:r>
          </w:p>
        </w:tc>
        <w:tc>
          <w:tcPr>
            <w:tcW w:w="4083" w:type="dxa"/>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200</w:t>
            </w:r>
          </w:p>
        </w:tc>
      </w:tr>
    </w:tbl>
    <w:p w:rsidR="007038F3" w:rsidRDefault="007038F3" w:rsidP="007038F3">
      <w:pPr>
        <w:snapToGrid w:val="0"/>
        <w:spacing w:line="560" w:lineRule="exact"/>
        <w:jc w:val="left"/>
        <w:rPr>
          <w:rFonts w:ascii="楷体_GB2312" w:eastAsia="楷体_GB2312" w:hAnsi="楷体_GB2312" w:cs="楷体_GB2312"/>
          <w:snapToGrid w:val="0"/>
          <w:spacing w:val="-4"/>
          <w:kern w:val="0"/>
          <w:sz w:val="24"/>
        </w:rPr>
      </w:pPr>
      <w:r>
        <w:rPr>
          <w:rFonts w:ascii="楷体_GB2312" w:eastAsia="楷体_GB2312" w:hAnsi="楷体_GB2312" w:cs="楷体_GB2312" w:hint="eastAsia"/>
          <w:snapToGrid w:val="0"/>
          <w:spacing w:val="-4"/>
          <w:kern w:val="0"/>
          <w:sz w:val="24"/>
        </w:rPr>
        <w:t>注：各地任务分配数以辖区县（区）数量为基础，参考企业分布以及2020年创建情况。</w:t>
      </w:r>
    </w:p>
    <w:p w:rsidR="007038F3" w:rsidRDefault="007038F3" w:rsidP="007038F3">
      <w:pPr>
        <w:adjustRightInd w:val="0"/>
        <w:snapToGrid w:val="0"/>
        <w:spacing w:line="20" w:lineRule="exact"/>
        <w:rPr>
          <w:rFonts w:ascii="仿宋_GB2312" w:eastAsia="仿宋_GB2312" w:hAnsi="仿宋_GB2312" w:cs="仿宋_GB2312"/>
          <w:snapToGrid w:val="0"/>
          <w:kern w:val="0"/>
          <w:sz w:val="32"/>
          <w:szCs w:val="32"/>
        </w:rPr>
      </w:pPr>
    </w:p>
    <w:p w:rsidR="007038F3" w:rsidRDefault="007038F3" w:rsidP="007038F3">
      <w:pPr>
        <w:adjustRightInd w:val="0"/>
        <w:snapToGrid w:val="0"/>
        <w:spacing w:line="20" w:lineRule="exact"/>
        <w:rPr>
          <w:rFonts w:ascii="仿宋_GB2312" w:eastAsia="仿宋_GB2312" w:hAnsi="仿宋_GB2312" w:cs="仿宋_GB2312"/>
          <w:snapToGrid w:val="0"/>
          <w:kern w:val="0"/>
          <w:sz w:val="32"/>
          <w:szCs w:val="32"/>
        </w:rPr>
      </w:pPr>
    </w:p>
    <w:p w:rsidR="007038F3" w:rsidRDefault="007038F3" w:rsidP="007038F3">
      <w:pPr>
        <w:snapToGrid w:val="0"/>
        <w:spacing w:line="14" w:lineRule="exact"/>
        <w:sectPr w:rsidR="007038F3">
          <w:footerReference w:type="even" r:id="rId5"/>
          <w:footerReference w:type="default" r:id="rId6"/>
          <w:footerReference w:type="first" r:id="rId7"/>
          <w:pgSz w:w="11906" w:h="16838"/>
          <w:pgMar w:top="1587" w:right="1587" w:bottom="1587" w:left="1587" w:header="851" w:footer="1191" w:gutter="0"/>
          <w:cols w:space="0"/>
          <w:titlePg/>
          <w:docGrid w:type="lines" w:linePitch="312"/>
        </w:sectPr>
      </w:pPr>
    </w:p>
    <w:p w:rsidR="007038F3" w:rsidRDefault="007038F3" w:rsidP="007038F3">
      <w:pPr>
        <w:spacing w:afterLines="100" w:after="323"/>
        <w:rPr>
          <w:rFonts w:ascii="宋体" w:eastAsia="黑体" w:hAnsi="宋体" w:cs="宋体"/>
          <w:snapToGrid w:val="0"/>
          <w:kern w:val="0"/>
          <w:sz w:val="32"/>
          <w:szCs w:val="32"/>
        </w:rPr>
      </w:pPr>
      <w:r>
        <w:rPr>
          <w:rFonts w:ascii="黑体" w:eastAsia="黑体" w:hAnsi="黑体" w:cs="黑体" w:hint="eastAsia"/>
          <w:sz w:val="32"/>
          <w:szCs w:val="32"/>
        </w:rPr>
        <w:lastRenderedPageBreak/>
        <w:t>附件2</w:t>
      </w:r>
    </w:p>
    <w:p w:rsidR="007038F3" w:rsidRDefault="007038F3" w:rsidP="007038F3">
      <w:pPr>
        <w:adjustRightInd w:val="0"/>
        <w:jc w:val="center"/>
        <w:rPr>
          <w:rFonts w:ascii="方正小标宋简体" w:eastAsia="方正小标宋简体" w:hAnsi="方正小标宋简体" w:cs="方正小标宋简体"/>
          <w:snapToGrid w:val="0"/>
          <w:kern w:val="0"/>
          <w:sz w:val="40"/>
          <w:szCs w:val="40"/>
        </w:rPr>
      </w:pPr>
      <w:r>
        <w:rPr>
          <w:rFonts w:ascii="方正小标宋简体" w:eastAsia="方正小标宋简体" w:hAnsi="方正小标宋简体" w:cs="方正小标宋简体" w:hint="eastAsia"/>
          <w:snapToGrid w:val="0"/>
          <w:kern w:val="0"/>
          <w:sz w:val="40"/>
          <w:szCs w:val="40"/>
        </w:rPr>
        <w:t>湖北省“健康企业”建设评估考核表</w:t>
      </w: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1444"/>
        <w:gridCol w:w="7757"/>
        <w:gridCol w:w="933"/>
        <w:gridCol w:w="1664"/>
        <w:gridCol w:w="709"/>
      </w:tblGrid>
      <w:tr w:rsidR="007038F3" w:rsidTr="00751DBD">
        <w:trPr>
          <w:trHeight w:val="567"/>
          <w:jc w:val="center"/>
        </w:trPr>
        <w:tc>
          <w:tcPr>
            <w:tcW w:w="3816" w:type="pct"/>
            <w:gridSpan w:val="3"/>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基本条件</w:t>
            </w:r>
          </w:p>
        </w:tc>
        <w:tc>
          <w:tcPr>
            <w:tcW w:w="1183" w:type="pct"/>
            <w:gridSpan w:val="3"/>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评估结果</w:t>
            </w:r>
          </w:p>
        </w:tc>
      </w:tr>
      <w:tr w:rsidR="007038F3" w:rsidTr="00751DBD">
        <w:trPr>
          <w:trHeight w:val="567"/>
          <w:jc w:val="center"/>
        </w:trPr>
        <w:tc>
          <w:tcPr>
            <w:tcW w:w="3816" w:type="pct"/>
            <w:gridSpan w:val="3"/>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left"/>
              <w:rPr>
                <w:rFonts w:ascii="仿宋_GB2312" w:eastAsia="仿宋_GB2312" w:hAnsi="仿宋_GB2312" w:cs="仿宋_GB2312"/>
                <w:sz w:val="24"/>
              </w:rPr>
            </w:pPr>
            <w:r>
              <w:rPr>
                <w:rFonts w:ascii="仿宋_GB2312" w:eastAsia="仿宋_GB2312" w:hAnsi="仿宋_GB2312" w:cs="仿宋_GB2312" w:hint="eastAsia"/>
                <w:sz w:val="24"/>
              </w:rPr>
              <w:t>企业主要负责人书面承诺建设“健康企业”</w:t>
            </w:r>
          </w:p>
        </w:tc>
        <w:tc>
          <w:tcPr>
            <w:tcW w:w="1183" w:type="pct"/>
            <w:gridSpan w:val="3"/>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□符合 □不符合</w:t>
            </w:r>
          </w:p>
        </w:tc>
      </w:tr>
      <w:tr w:rsidR="007038F3" w:rsidTr="00751DBD">
        <w:trPr>
          <w:trHeight w:val="567"/>
          <w:jc w:val="center"/>
        </w:trPr>
        <w:tc>
          <w:tcPr>
            <w:tcW w:w="3816" w:type="pct"/>
            <w:gridSpan w:val="3"/>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left"/>
              <w:rPr>
                <w:rFonts w:ascii="仿宋_GB2312" w:eastAsia="仿宋_GB2312" w:hAnsi="仿宋_GB2312" w:cs="仿宋_GB2312"/>
                <w:sz w:val="24"/>
              </w:rPr>
            </w:pPr>
            <w:r>
              <w:rPr>
                <w:rFonts w:ascii="仿宋_GB2312" w:eastAsia="仿宋_GB2312" w:hAnsi="仿宋_GB2312" w:cs="仿宋_GB2312" w:hint="eastAsia"/>
                <w:sz w:val="24"/>
              </w:rPr>
              <w:t>近3年内未发生因防控措施不力导致的甲、乙类传染病疫情爆发流行和群体性食源性疾病等事件</w:t>
            </w:r>
          </w:p>
        </w:tc>
        <w:tc>
          <w:tcPr>
            <w:tcW w:w="1183" w:type="pct"/>
            <w:gridSpan w:val="3"/>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□符合 □不符合</w:t>
            </w:r>
          </w:p>
        </w:tc>
      </w:tr>
      <w:tr w:rsidR="007038F3" w:rsidTr="00751DBD">
        <w:trPr>
          <w:trHeight w:val="567"/>
          <w:jc w:val="center"/>
        </w:trPr>
        <w:tc>
          <w:tcPr>
            <w:tcW w:w="3816" w:type="pct"/>
            <w:gridSpan w:val="3"/>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left"/>
              <w:rPr>
                <w:rFonts w:ascii="仿宋_GB2312" w:eastAsia="仿宋_GB2312" w:hAnsi="仿宋_GB2312" w:cs="仿宋_GB2312"/>
                <w:sz w:val="24"/>
              </w:rPr>
            </w:pPr>
            <w:r>
              <w:rPr>
                <w:rFonts w:ascii="仿宋_GB2312" w:eastAsia="仿宋_GB2312" w:hAnsi="仿宋_GB2312" w:cs="仿宋_GB2312" w:hint="eastAsia"/>
                <w:sz w:val="24"/>
              </w:rPr>
              <w:t>近3年内未发生重大职业健康和安全生产责任事故</w:t>
            </w:r>
          </w:p>
        </w:tc>
        <w:tc>
          <w:tcPr>
            <w:tcW w:w="1183" w:type="pct"/>
            <w:gridSpan w:val="3"/>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□符合 □不符合</w:t>
            </w:r>
          </w:p>
        </w:tc>
      </w:tr>
      <w:tr w:rsidR="007038F3" w:rsidTr="00751DBD">
        <w:trPr>
          <w:trHeight w:val="567"/>
          <w:jc w:val="center"/>
        </w:trPr>
        <w:tc>
          <w:tcPr>
            <w:tcW w:w="3816" w:type="pct"/>
            <w:gridSpan w:val="3"/>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left"/>
              <w:rPr>
                <w:rFonts w:ascii="仿宋_GB2312" w:eastAsia="仿宋_GB2312" w:hAnsi="仿宋_GB2312" w:cs="仿宋_GB2312"/>
                <w:sz w:val="24"/>
              </w:rPr>
            </w:pPr>
            <w:r>
              <w:rPr>
                <w:rFonts w:ascii="仿宋_GB2312" w:eastAsia="仿宋_GB2312" w:hAnsi="仿宋_GB2312" w:cs="仿宋_GB2312" w:hint="eastAsia"/>
                <w:sz w:val="24"/>
              </w:rPr>
              <w:t>近3年内未发生因企业过失造成的重大突发环境事故</w:t>
            </w:r>
          </w:p>
        </w:tc>
        <w:tc>
          <w:tcPr>
            <w:tcW w:w="1183" w:type="pct"/>
            <w:gridSpan w:val="3"/>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□符合 □不符合</w:t>
            </w:r>
          </w:p>
        </w:tc>
      </w:tr>
      <w:tr w:rsidR="007038F3" w:rsidTr="00751DBD">
        <w:trPr>
          <w:trHeight w:val="567"/>
          <w:jc w:val="center"/>
        </w:trPr>
        <w:tc>
          <w:tcPr>
            <w:tcW w:w="5000" w:type="pct"/>
            <w:gridSpan w:val="6"/>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b/>
                <w:bCs/>
                <w:sz w:val="24"/>
              </w:rPr>
              <w:t>具体指标</w:t>
            </w:r>
          </w:p>
        </w:tc>
      </w:tr>
      <w:tr w:rsidR="007038F3" w:rsidTr="00751DBD">
        <w:trPr>
          <w:trHeight w:val="567"/>
          <w:jc w:val="center"/>
        </w:trPr>
        <w:tc>
          <w:tcPr>
            <w:tcW w:w="521"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b/>
                <w:bCs/>
                <w:sz w:val="24"/>
              </w:rPr>
            </w:pPr>
            <w:bookmarkStart w:id="0" w:name="_Hlk52200474" w:colFirst="0" w:colLast="6"/>
            <w:r>
              <w:rPr>
                <w:rFonts w:ascii="仿宋_GB2312" w:eastAsia="仿宋_GB2312" w:hAnsi="仿宋_GB2312" w:cs="仿宋_GB2312" w:hint="eastAsia"/>
                <w:b/>
                <w:bCs/>
                <w:sz w:val="24"/>
              </w:rPr>
              <w:t>一级指标</w:t>
            </w:r>
          </w:p>
        </w:tc>
        <w:tc>
          <w:tcPr>
            <w:tcW w:w="51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二级指标</w:t>
            </w: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三级指标</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分值</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评估方式</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得分</w:t>
            </w:r>
          </w:p>
        </w:tc>
      </w:tr>
      <w:tr w:rsidR="007038F3" w:rsidTr="00751DBD">
        <w:trPr>
          <w:trHeight w:val="567"/>
          <w:jc w:val="center"/>
        </w:trPr>
        <w:tc>
          <w:tcPr>
            <w:tcW w:w="521" w:type="pct"/>
            <w:vMerge w:val="restar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b/>
                <w:bCs/>
                <w:sz w:val="24"/>
              </w:rPr>
              <w:t>管理制度（200分）</w:t>
            </w:r>
          </w:p>
        </w:tc>
        <w:tc>
          <w:tcPr>
            <w:tcW w:w="517" w:type="pct"/>
            <w:vMerge w:val="restar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组织保障</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（20分）</w:t>
            </w: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1.成立“健康企业”建设领导小组，由企业主要负责人担任组长</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2.明确“健康企业”建设部门及职责</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现场察看</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人员保障</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3.</w:t>
            </w:r>
            <w:bookmarkStart w:id="1" w:name="_Hlk51662663"/>
            <w:r>
              <w:rPr>
                <w:rFonts w:ascii="仿宋_GB2312" w:eastAsia="仿宋_GB2312" w:hAnsi="仿宋_GB2312" w:cs="仿宋_GB2312" w:hint="eastAsia"/>
                <w:sz w:val="24"/>
              </w:rPr>
              <w:t>配备专/兼职人员从事“健康企业”建设工作</w:t>
            </w:r>
            <w:bookmarkEnd w:id="1"/>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val="restar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制度保障</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（80分）</w:t>
            </w: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4.制订“健康企业”工作计划及实施方案</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15分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5.建立、完善与劳动者健康相关的各项制度</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20分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729"/>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6.落实企业民主协商制度，建立全体员工共同参与“健康企业”建设的协商协调机制，构建和谐劳动关系</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15分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7.制定并落实促进健康生活方式的激励机制</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现场察看资料审查</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8.制定并落实提升职业健康素养的制度</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highlight w:val="yellow"/>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9.将员工健康纳入企业绩效考核系统</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highlight w:val="yellow"/>
              </w:rPr>
            </w:pPr>
          </w:p>
        </w:tc>
      </w:tr>
      <w:tr w:rsidR="007038F3" w:rsidTr="00751DBD">
        <w:trPr>
          <w:trHeight w:val="712"/>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经费保障（20分）</w:t>
            </w: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10.设立“健康企业”建设专项工作经费，专款专用</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20分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val="restar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合同及参保情况</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（60分）</w:t>
            </w: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11.依法与劳动者签订劳动合同</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25分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12.按时、足额缴纳工伤保险保费</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25分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13.为员工投保大病保险☆</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712"/>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全员参与</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14.采取多种措施，调动员工积极参与“健康企业”建设</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bookmarkEnd w:id="0"/>
      <w:tr w:rsidR="007038F3" w:rsidTr="00751DBD">
        <w:trPr>
          <w:trHeight w:val="567"/>
          <w:jc w:val="center"/>
        </w:trPr>
        <w:tc>
          <w:tcPr>
            <w:tcW w:w="521" w:type="pct"/>
            <w:vMerge w:val="restar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健康环境</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b/>
                <w:bCs/>
                <w:sz w:val="24"/>
              </w:rPr>
              <w:t>（220分）</w:t>
            </w:r>
          </w:p>
        </w:tc>
        <w:tc>
          <w:tcPr>
            <w:tcW w:w="517" w:type="pct"/>
            <w:vMerge w:val="restar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一般环境</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（150分）</w:t>
            </w: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15.基础设施完善</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15分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现场察看</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16.生产环境布局合理，生产布局符合国家相关标准要求</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15分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现场察看资料审查</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17.环境整洁，无卫生死角</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现场察看</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18.绿地率满足国家绿化工作要求</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15分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现场察看资料审查</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 xml:space="preserve">19.企业排污符合环保要求 </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15分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现场察看资料审查</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83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20.有效落实病媒生物防制，鼠、蚊、蝇、蟑螂等病媒生物密度得到有效控制，符合国家卫生标准和要求</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现场察看资料审查</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705"/>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21.全面开展控烟工作，打造无烟环境。积极推动室内工作场所及公共场所等全面禁止吸烟，设置显著禁烟标识，企业内无烟草广告和促销</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现场察看访谈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22.加强二次供水水质卫生管理，保障生活饮用水安全***</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现场察看资料审查</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23.企业内设食堂应符合《食品安全法》相关规定要求。未设置食堂的，就餐场所不能与存在职业性有害因素的工作场所相毗邻**</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20分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现场察看资料审查</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24.消防设施齐全，安全有效</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现场察看</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25.厕所设置布局合理、管理规范、干净整洁</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现场察看资料审查</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26.员工聚集场所符合传染病防控相关规定</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现场察看</w:t>
            </w:r>
          </w:p>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val="restar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工作场所</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环境</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（70分）</w:t>
            </w: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27.工作及作业环境、设备设施符合工效学要求和健康需求</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现场察看</w:t>
            </w:r>
          </w:p>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p>
        </w:tc>
      </w:tr>
      <w:tr w:rsidR="007038F3" w:rsidTr="00751DBD">
        <w:trPr>
          <w:trHeight w:val="669"/>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28.工作场所采光、照明、通风、保温、隔热、隔声、污染物控制等方面符合国家、地方相关标准和要求</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30分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现场察看</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998"/>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29.落实建设项目职业病防护设施“三同时”制度，做好职业病危害预评价、职业病防护设施设计、职业病危害控制效果评价及职业病防护设施竣工验收 *</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30分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val="restar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健康管理</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b/>
                <w:bCs/>
                <w:sz w:val="24"/>
              </w:rPr>
              <w:t>与服务（400分）</w:t>
            </w:r>
          </w:p>
        </w:tc>
        <w:tc>
          <w:tcPr>
            <w:tcW w:w="517" w:type="pct"/>
            <w:vMerge w:val="restar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一般健康</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管理</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（120分）</w:t>
            </w: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30.设立“健康小屋”，为员工提供免费测量血压、体重、腰围等健康指标的场所和设施</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15分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现场察看</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31.工作相关设施符合职工生理、心理健康要求</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现场察看</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32.制定员工年度健康检查计划，建立员工健康档案</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20分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33.开展员工健康评估并实施分类健康管理和指导</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15分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34.制定传染病、食源性疾病等防控应急预案，防止疾病传播流行</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15分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35.完善员工健身场地及设施，组织开展适合不同工作场所和工作方式特点的群体性健身活动</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15分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现场察看资料审查</w:t>
            </w:r>
          </w:p>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36.开展婚前、孕前和孕期保健 ****</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15分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37.开展女职工健康检查，检查项目覆盖妇科和乳腺检查</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15分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val="restar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健康促进与干预</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（60分）</w:t>
            </w: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38.设立心理健康辅导室</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现场察看</w:t>
            </w:r>
          </w:p>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39.制定并实施员工心理援助计划</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40.提供心理评估、心理咨询、教育培训等服务</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781"/>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41.对重复用力、快速移动、异常姿势等工效学危害因素，制定预防和控制工作相关肌肉骨骼系统疾患的措施</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15分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 xml:space="preserve">42.对高负荷、超时工作，制定预防和控制过劳发生的措施 </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15分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706"/>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val="restar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职业健康管理与服务（220分）</w:t>
            </w: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43.企业主要负责人和职业卫生管理人员接受职业卫生培训，遵守职业病防治法律、法规，依法组织本单位的职业病防治工作 *</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15分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68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44.组织劳动者进行上岗前的职业卫生培训和在岗期间的定期职业卫生培训 *</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15分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706"/>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45.建立、健全职业卫生管理制度、操作规程、职业卫生档案和工作场所职业病危害因素监测及评价制度 *</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15分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46.实施工作场所职业病危害因素日常监测和定期检测、评价 *</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15分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现场察看</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68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47.在存在或者产生职业病危害的工作场所设置警示标识和中文警示说明；对存在或产生严重职业病危害的工作岗位设置职业病危害</w:t>
            </w:r>
            <w:proofErr w:type="gramStart"/>
            <w:r>
              <w:rPr>
                <w:rFonts w:ascii="仿宋_GB2312" w:eastAsia="仿宋_GB2312" w:hAnsi="仿宋_GB2312" w:cs="仿宋_GB2312" w:hint="eastAsia"/>
                <w:sz w:val="24"/>
              </w:rPr>
              <w:t>告知卡</w:t>
            </w:r>
            <w:proofErr w:type="gramEnd"/>
            <w:r>
              <w:rPr>
                <w:rFonts w:ascii="仿宋_GB2312" w:eastAsia="仿宋_GB2312" w:hAnsi="仿宋_GB2312" w:cs="仿宋_GB2312" w:hint="eastAsia"/>
                <w:sz w:val="24"/>
              </w:rPr>
              <w:t xml:space="preserve"> *</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现场察看</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705"/>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48.采用有效的职业病防护设施；为员工提供符合国家职业卫生标准的职业病防护用品，并督促、指导员工全程正确佩戴和使用 *</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现场察看</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725"/>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49.对可能导致急性职业损伤的有毒、有害工作场所，设置报警装置，配置现场急救用品、冲洗设备、应急撤离通道和必要的泄险区 *</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15分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现场察看</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50.建立、健全职业病危害事故应急救援预案 *</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51.建立、完善职业健康监护制度，对从事接触职业病危害作业的劳动者进行上岗前、在岗期间和离岗时的职业健康检查 *</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20分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52.建立职业健康监护档案，并参照人事档案妥善保管 *</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20分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highlight w:val="green"/>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53.定期评估职业健康监护资料 *</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101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54.配合做好职业病诊断与鉴定工作，安排疑似职业病病人依法进行职业病诊断，依法提供与职业病诊断、鉴定有关的职业卫生和健康监护等资料 *</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55.妥善安置有职业禁忌、职业相关健康损害和患有职业病的员工 *</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56.依法依规安排职业病病人进行治疗、康复和定期检查 *</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57.对从事接触职业病危害作业的劳动者，给予岗位津贴 *</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818"/>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58.优先采用有利于防治职业病和保护劳动者健康的新技术、新工艺、新设备、新材料，替代职业病危害严重的技术、工艺、设备、材料 *☆</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资料审查现场察看访谈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1035"/>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59.落实《女职工劳动保护特别规定》，加强对怀孕和哺乳期女职工的关爱和照顾。女职工较多的企业按规定</w:t>
            </w:r>
            <w:proofErr w:type="gramStart"/>
            <w:r>
              <w:rPr>
                <w:rFonts w:ascii="仿宋_GB2312" w:eastAsia="仿宋_GB2312" w:hAnsi="仿宋_GB2312" w:cs="仿宋_GB2312" w:hint="eastAsia"/>
                <w:sz w:val="24"/>
              </w:rPr>
              <w:t>建立女</w:t>
            </w:r>
            <w:proofErr w:type="gramEnd"/>
            <w:r>
              <w:rPr>
                <w:rFonts w:ascii="仿宋_GB2312" w:eastAsia="仿宋_GB2312" w:hAnsi="仿宋_GB2312" w:cs="仿宋_GB2312" w:hint="eastAsia"/>
                <w:sz w:val="24"/>
              </w:rPr>
              <w:t>职工卫生室、孕妇休息室、哺乳室、母婴室等辅助设施 ****</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15分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现场察看</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val="restar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健康文化</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b/>
                <w:bCs/>
                <w:sz w:val="24"/>
              </w:rPr>
              <w:t>（150分）</w:t>
            </w:r>
          </w:p>
        </w:tc>
        <w:tc>
          <w:tcPr>
            <w:tcW w:w="517" w:type="pct"/>
            <w:vMerge w:val="restar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健康教育（50分）</w:t>
            </w: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60.广泛开展多种形式的健康知识普及，倡导健康生活方式和健康工作方式</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20分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现场察看</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706"/>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61.定期组织开展传染病、慢性病和职业病防治、心理健康及急救知识等内容的健康教育活动，提高员工健康素养</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15分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62.定期对食堂管理和从业人员开展营养、平衡膳食和食品安全相关培训 **</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15分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val="restar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人文环境（80分）</w:t>
            </w: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63.建立体现社会主义核心价值观的企业文化</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64.建立“健康企业”志愿者体系</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65.</w:t>
            </w:r>
            <w:proofErr w:type="gramStart"/>
            <w:r>
              <w:rPr>
                <w:rFonts w:ascii="仿宋_GB2312" w:eastAsia="仿宋_GB2312" w:hAnsi="仿宋_GB2312" w:cs="仿宋_GB2312" w:hint="eastAsia"/>
                <w:sz w:val="24"/>
              </w:rPr>
              <w:t>关爱员工</w:t>
            </w:r>
            <w:proofErr w:type="gramEnd"/>
            <w:r>
              <w:rPr>
                <w:rFonts w:ascii="仿宋_GB2312" w:eastAsia="仿宋_GB2312" w:hAnsi="仿宋_GB2312" w:cs="仿宋_GB2312" w:hint="eastAsia"/>
                <w:sz w:val="24"/>
              </w:rPr>
              <w:t>身心健康，构建和谐、平等、信任、宽容的人文环境</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现场察看访谈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1119"/>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66.倡导文明健康绿色环保生活方式 。广泛宣传倡导文明健康绿色环保生活方式，积极开展垃圾分类、制止餐饮浪费等文明风尚行动，用好企业各类宣传教育平台，营造倡导文明健康绿色环保生活方式浓厚氛围</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15分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67.采取积极有效措施预防和制止工作场所暴力、歧视和性骚扰等</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15分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68.开展“健康达人”评选活动</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20分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资料审核</w:t>
            </w:r>
          </w:p>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val="restar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社会责任（20分）</w:t>
            </w: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69.切实履行社会责任，积极参与社会公益活动 ☆</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70.将“健康企业”的积极效应扩展到家庭</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val="restar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b/>
                <w:bCs/>
                <w:sz w:val="24"/>
              </w:rPr>
            </w:pPr>
            <w:bookmarkStart w:id="2" w:name="_Hlk51681553" w:colFirst="0" w:colLast="4"/>
            <w:r>
              <w:rPr>
                <w:rFonts w:ascii="仿宋_GB2312" w:eastAsia="仿宋_GB2312" w:hAnsi="仿宋_GB2312" w:cs="仿宋_GB2312" w:hint="eastAsia"/>
                <w:b/>
                <w:bCs/>
                <w:sz w:val="24"/>
              </w:rPr>
              <w:lastRenderedPageBreak/>
              <w:t>健康效果</w:t>
            </w:r>
          </w:p>
          <w:p w:rsidR="007038F3" w:rsidRDefault="007038F3" w:rsidP="00751DBD">
            <w:pPr>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评估</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b/>
                <w:bCs/>
                <w:sz w:val="24"/>
              </w:rPr>
              <w:t>（30分）</w:t>
            </w:r>
          </w:p>
        </w:tc>
        <w:tc>
          <w:tcPr>
            <w:tcW w:w="517" w:type="pct"/>
            <w:vMerge w:val="restar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建设成效（30分）</w:t>
            </w: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rPr>
                <w:rFonts w:ascii="仿宋_GB2312" w:eastAsia="仿宋_GB2312" w:hAnsi="仿宋_GB2312" w:cs="仿宋_GB2312"/>
                <w:sz w:val="24"/>
              </w:rPr>
            </w:pPr>
            <w:r>
              <w:rPr>
                <w:rFonts w:ascii="仿宋_GB2312" w:eastAsia="仿宋_GB2312" w:hAnsi="仿宋_GB2312" w:cs="仿宋_GB2312" w:hint="eastAsia"/>
                <w:sz w:val="24"/>
              </w:rPr>
              <w:t>71.员工职业健康素养水平</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问卷调查</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72.员工因伤病缺勤率</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jc w:val="cente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73.员工对“健康企业”建设工作的满意率</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10分</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val="restar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rPr>
              <w:t>疫情防控</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b/>
                <w:bCs/>
                <w:sz w:val="24"/>
              </w:rPr>
              <w:t>（100分）</w:t>
            </w:r>
          </w:p>
        </w:tc>
        <w:tc>
          <w:tcPr>
            <w:tcW w:w="517" w:type="pct"/>
            <w:vMerge w:val="restar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新冠肺炎疫情防控（100分）</w:t>
            </w: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74.成立新冠疫情防控领导小组，企业负责人担任组长，责任分解到部门和人</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25</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75.制定新冠疫情防控专项制度、应急预案</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25</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76.严格落实省及属地各项新冠疫情防控规定和技术规范，做到人防、物防、技防，防控物质充足，有相应执行记录档案</w:t>
            </w:r>
          </w:p>
        </w:tc>
        <w:tc>
          <w:tcPr>
            <w:tcW w:w="334"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50</w:t>
            </w:r>
          </w:p>
        </w:tc>
        <w:tc>
          <w:tcPr>
            <w:tcW w:w="596"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资料审查</w:t>
            </w:r>
          </w:p>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访谈</w:t>
            </w:r>
          </w:p>
        </w:tc>
        <w:tc>
          <w:tcPr>
            <w:tcW w:w="252"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p>
        </w:tc>
      </w:tr>
      <w:tr w:rsidR="007038F3" w:rsidTr="00751DBD">
        <w:trPr>
          <w:trHeight w:val="567"/>
          <w:jc w:val="center"/>
        </w:trPr>
        <w:tc>
          <w:tcPr>
            <w:tcW w:w="521"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517" w:type="pct"/>
            <w:vMerge/>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rPr>
                <w:rFonts w:ascii="仿宋_GB2312" w:eastAsia="仿宋_GB2312" w:hAnsi="仿宋_GB2312" w:cs="仿宋_GB2312"/>
                <w:sz w:val="24"/>
              </w:rPr>
            </w:pPr>
          </w:p>
        </w:tc>
        <w:tc>
          <w:tcPr>
            <w:tcW w:w="2777" w:type="pct"/>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rPr>
                <w:rFonts w:ascii="仿宋_GB2312" w:eastAsia="仿宋_GB2312" w:hAnsi="仿宋_GB2312" w:cs="仿宋_GB2312"/>
                <w:sz w:val="24"/>
              </w:rPr>
            </w:pPr>
            <w:r>
              <w:rPr>
                <w:rFonts w:ascii="仿宋_GB2312" w:eastAsia="仿宋_GB2312" w:hAnsi="仿宋_GB2312" w:cs="仿宋_GB2312" w:hint="eastAsia"/>
                <w:sz w:val="24"/>
              </w:rPr>
              <w:t>77.因企业防控不力导致员工聚集性感染、发生社区传播等责任事故的，取消评审。已获“健康企业”资格的直接取消资格。</w:t>
            </w:r>
          </w:p>
        </w:tc>
        <w:tc>
          <w:tcPr>
            <w:tcW w:w="1183" w:type="pct"/>
            <w:gridSpan w:val="3"/>
            <w:tcBorders>
              <w:top w:val="single" w:sz="4" w:space="0" w:color="auto"/>
              <w:left w:val="single" w:sz="4" w:space="0" w:color="auto"/>
              <w:bottom w:val="single" w:sz="4" w:space="0" w:color="auto"/>
              <w:right w:val="single" w:sz="4" w:space="0" w:color="auto"/>
            </w:tcBorders>
            <w:noWrap/>
            <w:vAlign w:val="center"/>
          </w:tcPr>
          <w:p w:rsidR="007038F3" w:rsidRDefault="007038F3" w:rsidP="00751DBD">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一票否决项</w:t>
            </w:r>
          </w:p>
        </w:tc>
      </w:tr>
    </w:tbl>
    <w:bookmarkEnd w:id="2"/>
    <w:p w:rsidR="007038F3" w:rsidRDefault="007038F3" w:rsidP="007038F3">
      <w:pPr>
        <w:widowControl/>
        <w:snapToGrid w:val="0"/>
        <w:spacing w:line="400" w:lineRule="exact"/>
        <w:ind w:left="960" w:hangingChars="400" w:hanging="960"/>
        <w:rPr>
          <w:rFonts w:ascii="楷体_GB2312" w:eastAsia="楷体_GB2312" w:cs="宋体"/>
          <w:kern w:val="0"/>
          <w:sz w:val="24"/>
        </w:rPr>
      </w:pPr>
      <w:r>
        <w:rPr>
          <w:rFonts w:ascii="楷体_GB2312" w:eastAsia="楷体_GB2312" w:hint="eastAsia"/>
          <w:sz w:val="24"/>
        </w:rPr>
        <w:t xml:space="preserve">注： </w:t>
      </w:r>
      <w:r>
        <w:rPr>
          <w:rFonts w:ascii="楷体_GB2312" w:eastAsia="楷体_GB2312" w:cs="宋体" w:hint="eastAsia"/>
          <w:kern w:val="0"/>
          <w:sz w:val="24"/>
        </w:rPr>
        <w:t>1.“健康企业”评价考核表中标注*号的指标为存在职业病危害因素企业的特有指标，共235分（如果申请企业存在职业病危害因素，各项指标实际评估得分相加结果即为评估得分；如果申请企业不存在职业病危害因素，则评估得分以非*项得分除以0.786计。如，某企业不存在职业病危害因素，其非*项得分为650分，对评估得分进行加权计算为650/0.786≈827分）。标注**号的指标，企业内部设置食堂或餐厅的，考核此项指标；未设置食堂或餐厅的企业，不考核此项指标，得分按照加权处理。标注***号的指标，企业内部设置二次供水设施和输配水管网的，考核此项指标；未设置二次供水设施和输配水管网的企业，不考核此项指标，得分按照加权处理。标注****号的指标，企业存在</w:t>
      </w:r>
      <w:proofErr w:type="gramStart"/>
      <w:r>
        <w:rPr>
          <w:rFonts w:ascii="楷体_GB2312" w:eastAsia="楷体_GB2312" w:cs="宋体" w:hint="eastAsia"/>
          <w:kern w:val="0"/>
          <w:sz w:val="24"/>
        </w:rPr>
        <w:t>孕</w:t>
      </w:r>
      <w:proofErr w:type="gramEnd"/>
      <w:r>
        <w:rPr>
          <w:rFonts w:ascii="楷体_GB2312" w:eastAsia="楷体_GB2312" w:cs="宋体" w:hint="eastAsia"/>
          <w:kern w:val="0"/>
          <w:sz w:val="24"/>
        </w:rPr>
        <w:t>产妇的，考核此项指标；</w:t>
      </w:r>
      <w:proofErr w:type="gramStart"/>
      <w:r>
        <w:rPr>
          <w:rFonts w:ascii="楷体_GB2312" w:eastAsia="楷体_GB2312" w:cs="宋体" w:hint="eastAsia"/>
          <w:kern w:val="0"/>
          <w:sz w:val="24"/>
        </w:rPr>
        <w:t>无孕产妇</w:t>
      </w:r>
      <w:proofErr w:type="gramEnd"/>
      <w:r>
        <w:rPr>
          <w:rFonts w:ascii="楷体_GB2312" w:eastAsia="楷体_GB2312" w:cs="宋体" w:hint="eastAsia"/>
          <w:kern w:val="0"/>
          <w:sz w:val="24"/>
        </w:rPr>
        <w:t>的企业，不考核此项指标，得分按照加权处理。</w:t>
      </w:r>
    </w:p>
    <w:p w:rsidR="007038F3" w:rsidRDefault="007038F3" w:rsidP="007038F3">
      <w:pPr>
        <w:widowControl/>
        <w:snapToGrid w:val="0"/>
        <w:spacing w:line="400" w:lineRule="exact"/>
        <w:ind w:firstLineChars="250" w:firstLine="600"/>
        <w:rPr>
          <w:rFonts w:ascii="楷体_GB2312" w:eastAsia="楷体_GB2312" w:cs="宋体"/>
          <w:kern w:val="0"/>
          <w:sz w:val="24"/>
        </w:rPr>
      </w:pPr>
      <w:r>
        <w:rPr>
          <w:rFonts w:ascii="楷体_GB2312" w:eastAsia="楷体_GB2312" w:cs="宋体" w:hint="eastAsia"/>
          <w:kern w:val="0"/>
          <w:sz w:val="24"/>
        </w:rPr>
        <w:t>2.标记☆号的指标，为“健康企业”建设拔高项。</w:t>
      </w:r>
    </w:p>
    <w:p w:rsidR="007038F3" w:rsidRDefault="007038F3" w:rsidP="007038F3">
      <w:pPr>
        <w:widowControl/>
        <w:snapToGrid w:val="0"/>
        <w:spacing w:line="400" w:lineRule="exact"/>
        <w:ind w:firstLineChars="250" w:firstLine="600"/>
        <w:rPr>
          <w:rFonts w:ascii="楷体_GB2312" w:eastAsia="楷体_GB2312" w:hAnsi="楷体_GB2312" w:cs="楷体_GB2312"/>
          <w:sz w:val="24"/>
        </w:rPr>
      </w:pPr>
      <w:r>
        <w:rPr>
          <w:rFonts w:ascii="楷体_GB2312" w:eastAsia="楷体_GB2312" w:cs="宋体" w:hint="eastAsia"/>
          <w:kern w:val="0"/>
          <w:sz w:val="24"/>
        </w:rPr>
        <w:t>3.满分1100分，评估达到880分及以上，视为达到建设标准。</w:t>
      </w:r>
      <w:bookmarkStart w:id="3" w:name="_GoBack"/>
      <w:bookmarkEnd w:id="3"/>
    </w:p>
    <w:p w:rsidR="007038F3" w:rsidRDefault="007038F3" w:rsidP="007038F3">
      <w:pPr>
        <w:widowControl/>
        <w:snapToGrid w:val="0"/>
        <w:spacing w:line="400" w:lineRule="exact"/>
        <w:ind w:firstLineChars="250" w:firstLine="600"/>
        <w:rPr>
          <w:rFonts w:ascii="楷体_GB2312" w:eastAsia="楷体_GB2312" w:hAnsi="楷体_GB2312" w:cs="楷体_GB2312"/>
          <w:sz w:val="24"/>
        </w:rPr>
      </w:pPr>
    </w:p>
    <w:p w:rsidR="007038F3" w:rsidRDefault="007038F3" w:rsidP="007038F3">
      <w:pPr>
        <w:pStyle w:val="a6"/>
        <w:spacing w:after="0" w:line="400" w:lineRule="exact"/>
        <w:ind w:firstLineChars="0" w:firstLine="0"/>
        <w:rPr>
          <w:sz w:val="24"/>
        </w:rPr>
        <w:sectPr w:rsidR="007038F3">
          <w:footerReference w:type="even" r:id="rId8"/>
          <w:footerReference w:type="default" r:id="rId9"/>
          <w:pgSz w:w="16838" w:h="11906" w:orient="landscape"/>
          <w:pgMar w:top="1474" w:right="1587" w:bottom="1474" w:left="1587" w:header="851" w:footer="1134" w:gutter="0"/>
          <w:cols w:space="0"/>
          <w:docGrid w:type="lines" w:linePitch="323"/>
        </w:sectPr>
      </w:pPr>
    </w:p>
    <w:p w:rsidR="008079A6" w:rsidRPr="007038F3" w:rsidRDefault="008079A6"/>
    <w:sectPr w:rsidR="008079A6" w:rsidRPr="007038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5B2" w:rsidRDefault="007038F3">
    <w:pPr>
      <w:pStyle w:val="a4"/>
    </w:pPr>
    <w:r>
      <w:rPr>
        <w:noProof/>
      </w:rPr>
      <mc:AlternateContent>
        <mc:Choice Requires="wps">
          <w:drawing>
            <wp:anchor distT="0" distB="0" distL="114300" distR="114300" simplePos="0" relativeHeight="251660288" behindDoc="0" locked="0" layoutInCell="1" allowOverlap="1" wp14:anchorId="5B805CBA" wp14:editId="66722C13">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315B2" w:rsidRDefault="007038F3">
                          <w:pPr>
                            <w:pStyle w:val="a4"/>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Pr>
                              <w:rFonts w:ascii="宋体" w:hAnsi="宋体" w:cs="宋体"/>
                              <w:noProof/>
                              <w:sz w:val="24"/>
                            </w:rPr>
                            <w:t>6</w:t>
                          </w:r>
                          <w:r>
                            <w:rPr>
                              <w:rFonts w:ascii="宋体" w:hAnsi="宋体" w:cs="宋体" w:hint="eastAsia"/>
                              <w:sz w:val="24"/>
                            </w:rPr>
                            <w:fldChar w:fldCharType="end"/>
                          </w:r>
                          <w:r>
                            <w:rPr>
                              <w:rFonts w:ascii="宋体" w:hAnsi="宋体" w:cs="宋体" w:hint="eastAsia"/>
                              <w:sz w:val="24"/>
                            </w:rPr>
                            <w:t xml:space="preserve"> </w:t>
                          </w:r>
                          <w:r>
                            <w:rPr>
                              <w:rFonts w:ascii="宋体" w:hAnsi="宋体" w:cs="宋体" w:hint="eastAsia"/>
                              <w:sz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LxBcYxhAgAADAUAAA4AAAAAAAAAAAAAAAAALgIAAGRycy9lMm9Eb2MueG1s&#10;UEsBAi0AFAAGAAgAAAAhAHGq0bnXAAAABQEAAA8AAAAAAAAAAAAAAAAAuwQAAGRycy9kb3ducmV2&#10;LnhtbFBLBQYAAAAABAAEAPMAAAC/BQAAAAA=&#10;" filled="f" stroked="f" strokeweight=".5pt">
              <v:textbox style="mso-fit-shape-to-text:t" inset="0,0,0,0">
                <w:txbxContent>
                  <w:p w:rsidR="003315B2" w:rsidRDefault="007038F3">
                    <w:pPr>
                      <w:pStyle w:val="a4"/>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Pr>
                        <w:rFonts w:ascii="宋体" w:hAnsi="宋体" w:cs="宋体"/>
                        <w:noProof/>
                        <w:sz w:val="24"/>
                      </w:rPr>
                      <w:t>6</w:t>
                    </w:r>
                    <w:r>
                      <w:rPr>
                        <w:rFonts w:ascii="宋体" w:hAnsi="宋体" w:cs="宋体" w:hint="eastAsia"/>
                        <w:sz w:val="24"/>
                      </w:rPr>
                      <w:fldChar w:fldCharType="end"/>
                    </w:r>
                    <w:r>
                      <w:rPr>
                        <w:rFonts w:ascii="宋体" w:hAnsi="宋体" w:cs="宋体" w:hint="eastAsia"/>
                        <w:sz w:val="24"/>
                      </w:rPr>
                      <w:t xml:space="preserve"> </w:t>
                    </w:r>
                    <w:r>
                      <w:rPr>
                        <w:rFonts w:ascii="宋体" w:hAnsi="宋体" w:cs="宋体" w:hint="eastAsia"/>
                        <w:sz w:val="24"/>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5B2" w:rsidRDefault="007038F3">
    <w:pPr>
      <w:pStyle w:val="a4"/>
      <w:rPr>
        <w:rFonts w:ascii="宋体" w:hAnsi="宋体"/>
        <w:sz w:val="21"/>
        <w:szCs w:val="32"/>
      </w:rPr>
    </w:pPr>
    <w:r>
      <w:rPr>
        <w:noProof/>
        <w:sz w:val="21"/>
      </w:rPr>
      <mc:AlternateContent>
        <mc:Choice Requires="wps">
          <w:drawing>
            <wp:anchor distT="0" distB="0" distL="114300" distR="114300" simplePos="0" relativeHeight="251659264" behindDoc="0" locked="0" layoutInCell="1" allowOverlap="1" wp14:anchorId="2B74BBEC" wp14:editId="385A17AA">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315B2" w:rsidRDefault="007038F3">
                          <w:pPr>
                            <w:pStyle w:val="a4"/>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Pr>
                              <w:rFonts w:ascii="宋体" w:hAnsi="宋体" w:cs="宋体"/>
                              <w:noProof/>
                              <w:sz w:val="24"/>
                            </w:rPr>
                            <w:t>5</w:t>
                          </w:r>
                          <w:r>
                            <w:rPr>
                              <w:rFonts w:ascii="宋体" w:hAnsi="宋体" w:cs="宋体" w:hint="eastAsia"/>
                              <w:sz w:val="24"/>
                            </w:rPr>
                            <w:fldChar w:fldCharType="end"/>
                          </w:r>
                          <w:r>
                            <w:rPr>
                              <w:rFonts w:ascii="宋体" w:hAnsi="宋体" w:cs="宋体" w:hint="eastAsia"/>
                              <w:sz w:val="24"/>
                            </w:rPr>
                            <w:t xml:space="preserve"> </w:t>
                          </w:r>
                          <w:r>
                            <w:rPr>
                              <w:rFonts w:ascii="宋体" w:hAnsi="宋体" w:cs="宋体" w:hint="eastAsia"/>
                              <w:sz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3315B2" w:rsidRDefault="007038F3">
                    <w:pPr>
                      <w:pStyle w:val="a4"/>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Pr>
                        <w:rFonts w:ascii="宋体" w:hAnsi="宋体" w:cs="宋体"/>
                        <w:noProof/>
                        <w:sz w:val="24"/>
                      </w:rPr>
                      <w:t>5</w:t>
                    </w:r>
                    <w:r>
                      <w:rPr>
                        <w:rFonts w:ascii="宋体" w:hAnsi="宋体" w:cs="宋体" w:hint="eastAsia"/>
                        <w:sz w:val="24"/>
                      </w:rPr>
                      <w:fldChar w:fldCharType="end"/>
                    </w:r>
                    <w:r>
                      <w:rPr>
                        <w:rFonts w:ascii="宋体" w:hAnsi="宋体" w:cs="宋体" w:hint="eastAsia"/>
                        <w:sz w:val="24"/>
                      </w:rPr>
                      <w:t xml:space="preserve"> </w:t>
                    </w:r>
                    <w:r>
                      <w:rPr>
                        <w:rFonts w:ascii="宋体" w:hAnsi="宋体" w:cs="宋体" w:hint="eastAsia"/>
                        <w:sz w:val="24"/>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5B2" w:rsidRDefault="007038F3">
    <w:pPr>
      <w:pStyle w:val="a4"/>
    </w:pPr>
    <w:r>
      <w:rPr>
        <w:noProof/>
      </w:rPr>
      <mc:AlternateContent>
        <mc:Choice Requires="wps">
          <w:drawing>
            <wp:anchor distT="0" distB="0" distL="114300" distR="114300" simplePos="0" relativeHeight="251661312" behindDoc="0" locked="0" layoutInCell="1" allowOverlap="1" wp14:anchorId="00919CB8" wp14:editId="6D35DDDD">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315B2" w:rsidRDefault="007038F3">
                          <w:pPr>
                            <w:pStyle w:val="a4"/>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Pr>
                              <w:rFonts w:ascii="宋体" w:hAnsi="宋体" w:cs="宋体"/>
                              <w:noProof/>
                              <w:sz w:val="24"/>
                            </w:rPr>
                            <w:t>1</w:t>
                          </w:r>
                          <w:r>
                            <w:rPr>
                              <w:rFonts w:ascii="宋体" w:hAnsi="宋体" w:cs="宋体" w:hint="eastAsia"/>
                              <w:sz w:val="24"/>
                            </w:rPr>
                            <w:fldChar w:fldCharType="end"/>
                          </w:r>
                          <w:r>
                            <w:rPr>
                              <w:rFonts w:ascii="宋体" w:hAnsi="宋体" w:cs="宋体" w:hint="eastAsia"/>
                              <w:sz w:val="24"/>
                            </w:rPr>
                            <w:t xml:space="preserve"> </w:t>
                          </w:r>
                          <w:r>
                            <w:rPr>
                              <w:rFonts w:ascii="宋体" w:hAnsi="宋体" w:cs="宋体" w:hint="eastAsia"/>
                              <w:sz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8"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tWGZFkAgAAEwUAAA4AAAAAAAAAAAAAAAAALgIAAGRycy9lMm9Eb2Mu&#10;eG1sUEsBAi0AFAAGAAgAAAAhAHGq0bnXAAAABQEAAA8AAAAAAAAAAAAAAAAAvgQAAGRycy9kb3du&#10;cmV2LnhtbFBLBQYAAAAABAAEAPMAAADCBQAAAAA=&#10;" filled="f" stroked="f" strokeweight=".5pt">
              <v:textbox style="mso-fit-shape-to-text:t" inset="0,0,0,0">
                <w:txbxContent>
                  <w:p w:rsidR="003315B2" w:rsidRDefault="007038F3">
                    <w:pPr>
                      <w:pStyle w:val="a4"/>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Pr>
                        <w:rFonts w:ascii="宋体" w:hAnsi="宋体" w:cs="宋体"/>
                        <w:noProof/>
                        <w:sz w:val="24"/>
                      </w:rPr>
                      <w:t>1</w:t>
                    </w:r>
                    <w:r>
                      <w:rPr>
                        <w:rFonts w:ascii="宋体" w:hAnsi="宋体" w:cs="宋体" w:hint="eastAsia"/>
                        <w:sz w:val="24"/>
                      </w:rPr>
                      <w:fldChar w:fldCharType="end"/>
                    </w:r>
                    <w:r>
                      <w:rPr>
                        <w:rFonts w:ascii="宋体" w:hAnsi="宋体" w:cs="宋体" w:hint="eastAsia"/>
                        <w:sz w:val="24"/>
                      </w:rPr>
                      <w:t xml:space="preserve"> </w:t>
                    </w:r>
                    <w:r>
                      <w:rPr>
                        <w:rFonts w:ascii="宋体" w:hAnsi="宋体" w:cs="宋体" w:hint="eastAsia"/>
                        <w:sz w:val="24"/>
                      </w:rPr>
                      <w:t>—</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5B2" w:rsidRDefault="007038F3">
    <w:pPr>
      <w:pStyle w:val="a4"/>
    </w:pPr>
    <w:r>
      <w:rPr>
        <w:noProof/>
      </w:rPr>
      <mc:AlternateContent>
        <mc:Choice Requires="wps">
          <w:drawing>
            <wp:anchor distT="0" distB="0" distL="114300" distR="114300" simplePos="0" relativeHeight="251663360" behindDoc="0" locked="0" layoutInCell="1" allowOverlap="1" wp14:anchorId="114C324C" wp14:editId="33323D9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315B2" w:rsidRDefault="007038F3">
                          <w:pPr>
                            <w:pStyle w:val="a4"/>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Pr>
                              <w:rFonts w:ascii="宋体" w:hAnsi="宋体" w:cs="宋体"/>
                              <w:noProof/>
                              <w:sz w:val="24"/>
                            </w:rPr>
                            <w:t>12</w:t>
                          </w:r>
                          <w:r>
                            <w:rPr>
                              <w:rFonts w:ascii="宋体" w:hAnsi="宋体" w:cs="宋体" w:hint="eastAsia"/>
                              <w:sz w:val="24"/>
                            </w:rPr>
                            <w:fldChar w:fldCharType="end"/>
                          </w:r>
                          <w:r>
                            <w:rPr>
                              <w:rFonts w:ascii="宋体" w:hAnsi="宋体" w:cs="宋体" w:hint="eastAsia"/>
                              <w:sz w:val="24"/>
                            </w:rPr>
                            <w:t xml:space="preserve"> </w:t>
                          </w:r>
                          <w:r>
                            <w:rPr>
                              <w:rFonts w:ascii="宋体" w:hAnsi="宋体" w:cs="宋体" w:hint="eastAsia"/>
                              <w:sz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9" type="#_x0000_t202" style="position:absolute;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VZgIAABMFAAAOAAAAZHJzL2Uyb0RvYy54bWysVM1uEzEQviPxDpbvdNMWqi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1Lzpyw6NH992/3dz/vf3xluANBnY8z4K49kKl/TT3A433EZa6718HmLypi0IPqzY5e&#10;1Scms9H0YDqdQCWhG3/gv3ow9yGmN4osy0LNA/pXaBXri5gG6AjJ0Rydt8aUHhrHupofHb6aFIOd&#10;Bs6NQ4xcxJBskdLGqOzBuPdKo/6Sc74ok6dOTWBrgZkRUiqXSrnFE9AZpRH2KYZbfDZVZSqfYryz&#10;KJHJpZ2xbR2FUu+jtJvPY8p6wI8MDHVnClK/7EvjD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m5/3VWYCAAATBQAADgAAAAAAAAAAAAAAAAAuAgAAZHJzL2Uyb0Rv&#10;Yy54bWxQSwECLQAUAAYACAAAACEAcarRudcAAAAFAQAADwAAAAAAAAAAAAAAAADABAAAZHJzL2Rv&#10;d25yZXYueG1sUEsFBgAAAAAEAAQA8wAAAMQFAAAAAA==&#10;" filled="f" stroked="f" strokeweight=".5pt">
              <v:textbox style="mso-fit-shape-to-text:t" inset="0,0,0,0">
                <w:txbxContent>
                  <w:p w:rsidR="003315B2" w:rsidRDefault="007038F3">
                    <w:pPr>
                      <w:pStyle w:val="a4"/>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Pr>
                        <w:rFonts w:ascii="宋体" w:hAnsi="宋体" w:cs="宋体"/>
                        <w:noProof/>
                        <w:sz w:val="24"/>
                      </w:rPr>
                      <w:t>12</w:t>
                    </w:r>
                    <w:r>
                      <w:rPr>
                        <w:rFonts w:ascii="宋体" w:hAnsi="宋体" w:cs="宋体" w:hint="eastAsia"/>
                        <w:sz w:val="24"/>
                      </w:rPr>
                      <w:fldChar w:fldCharType="end"/>
                    </w:r>
                    <w:r>
                      <w:rPr>
                        <w:rFonts w:ascii="宋体" w:hAnsi="宋体" w:cs="宋体" w:hint="eastAsia"/>
                        <w:sz w:val="24"/>
                      </w:rPr>
                      <w:t xml:space="preserve"> </w:t>
                    </w:r>
                    <w:r>
                      <w:rPr>
                        <w:rFonts w:ascii="宋体" w:hAnsi="宋体" w:cs="宋体" w:hint="eastAsia"/>
                        <w:sz w:val="24"/>
                      </w:rPr>
                      <w:t>—</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5B2" w:rsidRDefault="007038F3">
    <w:pPr>
      <w:pStyle w:val="a4"/>
      <w:rPr>
        <w:rFonts w:ascii="宋体" w:hAnsi="宋体"/>
        <w:sz w:val="21"/>
        <w:szCs w:val="32"/>
      </w:rPr>
    </w:pPr>
    <w:r>
      <w:rPr>
        <w:noProof/>
        <w:sz w:val="21"/>
      </w:rPr>
      <mc:AlternateContent>
        <mc:Choice Requires="wps">
          <w:drawing>
            <wp:anchor distT="0" distB="0" distL="114300" distR="114300" simplePos="0" relativeHeight="251662336" behindDoc="0" locked="0" layoutInCell="1" allowOverlap="1" wp14:anchorId="2970A0BE" wp14:editId="60D37449">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315B2" w:rsidRDefault="007038F3">
                          <w:pPr>
                            <w:pStyle w:val="a4"/>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Pr>
                              <w:rFonts w:ascii="宋体" w:hAnsi="宋体" w:cs="宋体"/>
                              <w:noProof/>
                              <w:sz w:val="24"/>
                            </w:rPr>
                            <w:t>2</w:t>
                          </w:r>
                          <w:r>
                            <w:rPr>
                              <w:rFonts w:ascii="宋体" w:hAnsi="宋体" w:cs="宋体" w:hint="eastAsia"/>
                              <w:sz w:val="24"/>
                            </w:rPr>
                            <w:fldChar w:fldCharType="end"/>
                          </w:r>
                          <w:r>
                            <w:rPr>
                              <w:rFonts w:ascii="宋体" w:hAnsi="宋体" w:cs="宋体" w:hint="eastAsia"/>
                              <w:sz w:val="24"/>
                            </w:rPr>
                            <w:t xml:space="preserve"> </w:t>
                          </w:r>
                          <w:r>
                            <w:rPr>
                              <w:rFonts w:ascii="宋体" w:hAnsi="宋体" w:cs="宋体" w:hint="eastAsia"/>
                              <w:sz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30"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fuZgIAABMFAAAOAAAAZHJzL2Uyb0RvYy54bWysVM1uEzEQviPxDpbvdNMWqi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0hZ05Y9Oj++7f7u5/3P74y3IGgzscZcNceyNS/ph7g8T7iMtfd62DzFxUx6EH1Zkev&#10;6hOT2Wh6MJ1OoJLQjT/wXz2Y+xDTG0WWZaHmAf0rtIr1RUwDdITkaI7OW2NKD41jXc2PDl9NisFO&#10;A+fGIUYuYki2SGljVPZg3HulUX/JOV+UyVOnJrC1wMwIKZVLpdziCeiM0gj7FMMtPpuqMpVPMd5Z&#10;lMjk0s7Yto5CqfdR2s3nMWU94EcGhrozBalf9qXxL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SC2X7mYCAAATBQAADgAAAAAAAAAAAAAAAAAuAgAAZHJzL2Uyb0Rv&#10;Yy54bWxQSwECLQAUAAYACAAAACEAcarRudcAAAAFAQAADwAAAAAAAAAAAAAAAADABAAAZHJzL2Rv&#10;d25yZXYueG1sUEsFBgAAAAAEAAQA8wAAAMQFAAAAAA==&#10;" filled="f" stroked="f" strokeweight=".5pt">
              <v:textbox style="mso-fit-shape-to-text:t" inset="0,0,0,0">
                <w:txbxContent>
                  <w:p w:rsidR="003315B2" w:rsidRDefault="007038F3">
                    <w:pPr>
                      <w:pStyle w:val="a4"/>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Pr>
                        <w:rFonts w:ascii="宋体" w:hAnsi="宋体" w:cs="宋体"/>
                        <w:noProof/>
                        <w:sz w:val="24"/>
                      </w:rPr>
                      <w:t>2</w:t>
                    </w:r>
                    <w:r>
                      <w:rPr>
                        <w:rFonts w:ascii="宋体" w:hAnsi="宋体" w:cs="宋体" w:hint="eastAsia"/>
                        <w:sz w:val="24"/>
                      </w:rPr>
                      <w:fldChar w:fldCharType="end"/>
                    </w:r>
                    <w:r>
                      <w:rPr>
                        <w:rFonts w:ascii="宋体" w:hAnsi="宋体" w:cs="宋体" w:hint="eastAsia"/>
                        <w:sz w:val="24"/>
                      </w:rPr>
                      <w:t xml:space="preserve"> </w:t>
                    </w:r>
                    <w:r>
                      <w:rPr>
                        <w:rFonts w:ascii="宋体" w:hAnsi="宋体" w:cs="宋体" w:hint="eastAsia"/>
                        <w:sz w:val="24"/>
                      </w:rPr>
                      <w:t>—</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8F3"/>
    <w:rsid w:val="007038F3"/>
    <w:rsid w:val="008079A6"/>
    <w:rsid w:val="009C599E"/>
    <w:rsid w:val="00A2362F"/>
    <w:rsid w:val="00EE2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Body Text First Indent" w:uiPriority="99"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038F3"/>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qFormat/>
    <w:rsid w:val="007038F3"/>
    <w:pPr>
      <w:tabs>
        <w:tab w:val="center" w:pos="4153"/>
        <w:tab w:val="right" w:pos="8306"/>
      </w:tabs>
      <w:snapToGrid w:val="0"/>
      <w:jc w:val="left"/>
    </w:pPr>
    <w:rPr>
      <w:sz w:val="18"/>
    </w:rPr>
  </w:style>
  <w:style w:type="character" w:customStyle="1" w:styleId="Char">
    <w:name w:val="页脚 Char"/>
    <w:basedOn w:val="a1"/>
    <w:link w:val="a4"/>
    <w:uiPriority w:val="99"/>
    <w:qFormat/>
    <w:rsid w:val="007038F3"/>
    <w:rPr>
      <w:rFonts w:ascii="Calibri" w:hAnsi="Calibri"/>
      <w:kern w:val="2"/>
      <w:sz w:val="18"/>
      <w:szCs w:val="24"/>
    </w:rPr>
  </w:style>
  <w:style w:type="paragraph" w:styleId="a5">
    <w:name w:val="Body Text"/>
    <w:basedOn w:val="a"/>
    <w:link w:val="Char0"/>
    <w:rsid w:val="007038F3"/>
    <w:pPr>
      <w:spacing w:after="120"/>
    </w:pPr>
  </w:style>
  <w:style w:type="character" w:customStyle="1" w:styleId="Char0">
    <w:name w:val="正文文本 Char"/>
    <w:basedOn w:val="a1"/>
    <w:link w:val="a5"/>
    <w:rsid w:val="007038F3"/>
    <w:rPr>
      <w:rFonts w:ascii="Calibri" w:hAnsi="Calibri"/>
      <w:kern w:val="2"/>
      <w:sz w:val="21"/>
      <w:szCs w:val="24"/>
    </w:rPr>
  </w:style>
  <w:style w:type="paragraph" w:styleId="a6">
    <w:name w:val="Body Text First Indent"/>
    <w:basedOn w:val="a5"/>
    <w:link w:val="Char1"/>
    <w:uiPriority w:val="99"/>
    <w:unhideWhenUsed/>
    <w:qFormat/>
    <w:rsid w:val="007038F3"/>
    <w:pPr>
      <w:ind w:firstLineChars="100" w:firstLine="420"/>
    </w:pPr>
    <w:rPr>
      <w:rFonts w:ascii="Times New Roman" w:hAnsi="Times New Roman"/>
      <w:kern w:val="0"/>
      <w:sz w:val="20"/>
    </w:rPr>
  </w:style>
  <w:style w:type="character" w:customStyle="1" w:styleId="Char1">
    <w:name w:val="正文首行缩进 Char"/>
    <w:basedOn w:val="Char0"/>
    <w:link w:val="a6"/>
    <w:uiPriority w:val="99"/>
    <w:rsid w:val="007038F3"/>
    <w:rPr>
      <w:rFonts w:ascii="Calibri" w:hAnsi="Calibri"/>
      <w:kern w:val="2"/>
      <w:sz w:val="21"/>
      <w:szCs w:val="24"/>
    </w:rPr>
  </w:style>
  <w:style w:type="paragraph" w:styleId="a0">
    <w:name w:val="Normal Indent"/>
    <w:basedOn w:val="a"/>
    <w:rsid w:val="007038F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Body Text First Indent" w:uiPriority="99"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038F3"/>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qFormat/>
    <w:rsid w:val="007038F3"/>
    <w:pPr>
      <w:tabs>
        <w:tab w:val="center" w:pos="4153"/>
        <w:tab w:val="right" w:pos="8306"/>
      </w:tabs>
      <w:snapToGrid w:val="0"/>
      <w:jc w:val="left"/>
    </w:pPr>
    <w:rPr>
      <w:sz w:val="18"/>
    </w:rPr>
  </w:style>
  <w:style w:type="character" w:customStyle="1" w:styleId="Char">
    <w:name w:val="页脚 Char"/>
    <w:basedOn w:val="a1"/>
    <w:link w:val="a4"/>
    <w:uiPriority w:val="99"/>
    <w:qFormat/>
    <w:rsid w:val="007038F3"/>
    <w:rPr>
      <w:rFonts w:ascii="Calibri" w:hAnsi="Calibri"/>
      <w:kern w:val="2"/>
      <w:sz w:val="18"/>
      <w:szCs w:val="24"/>
    </w:rPr>
  </w:style>
  <w:style w:type="paragraph" w:styleId="a5">
    <w:name w:val="Body Text"/>
    <w:basedOn w:val="a"/>
    <w:link w:val="Char0"/>
    <w:rsid w:val="007038F3"/>
    <w:pPr>
      <w:spacing w:after="120"/>
    </w:pPr>
  </w:style>
  <w:style w:type="character" w:customStyle="1" w:styleId="Char0">
    <w:name w:val="正文文本 Char"/>
    <w:basedOn w:val="a1"/>
    <w:link w:val="a5"/>
    <w:rsid w:val="007038F3"/>
    <w:rPr>
      <w:rFonts w:ascii="Calibri" w:hAnsi="Calibri"/>
      <w:kern w:val="2"/>
      <w:sz w:val="21"/>
      <w:szCs w:val="24"/>
    </w:rPr>
  </w:style>
  <w:style w:type="paragraph" w:styleId="a6">
    <w:name w:val="Body Text First Indent"/>
    <w:basedOn w:val="a5"/>
    <w:link w:val="Char1"/>
    <w:uiPriority w:val="99"/>
    <w:unhideWhenUsed/>
    <w:qFormat/>
    <w:rsid w:val="007038F3"/>
    <w:pPr>
      <w:ind w:firstLineChars="100" w:firstLine="420"/>
    </w:pPr>
    <w:rPr>
      <w:rFonts w:ascii="Times New Roman" w:hAnsi="Times New Roman"/>
      <w:kern w:val="0"/>
      <w:sz w:val="20"/>
    </w:rPr>
  </w:style>
  <w:style w:type="character" w:customStyle="1" w:styleId="Char1">
    <w:name w:val="正文首行缩进 Char"/>
    <w:basedOn w:val="Char0"/>
    <w:link w:val="a6"/>
    <w:uiPriority w:val="99"/>
    <w:rsid w:val="007038F3"/>
    <w:rPr>
      <w:rFonts w:ascii="Calibri" w:hAnsi="Calibri"/>
      <w:kern w:val="2"/>
      <w:sz w:val="21"/>
      <w:szCs w:val="24"/>
    </w:rPr>
  </w:style>
  <w:style w:type="paragraph" w:styleId="a0">
    <w:name w:val="Normal Indent"/>
    <w:basedOn w:val="a"/>
    <w:rsid w:val="007038F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735</Words>
  <Characters>4195</Characters>
  <Application>Microsoft Office Word</Application>
  <DocSecurity>0</DocSecurity>
  <Lines>34</Lines>
  <Paragraphs>9</Paragraphs>
  <ScaleCrop>false</ScaleCrop>
  <Company>Hewlett-Packard Company</Company>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WJW</dc:creator>
  <cp:lastModifiedBy>WJW</cp:lastModifiedBy>
  <cp:revision>1</cp:revision>
  <dcterms:created xsi:type="dcterms:W3CDTF">2021-09-18T03:50:00Z</dcterms:created>
  <dcterms:modified xsi:type="dcterms:W3CDTF">2021-09-18T03:51:00Z</dcterms:modified>
</cp:coreProperties>
</file>