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contextualSpacing/>
        <w:jc w:val="left"/>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2</w:t>
      </w:r>
    </w:p>
    <w:p>
      <w:pPr>
        <w:ind w:firstLine="0" w:firstLineChars="0"/>
        <w:contextualSpacing/>
        <w:jc w:val="left"/>
        <w:rPr>
          <w:rFonts w:ascii="黑体" w:hAnsi="黑体" w:eastAsia="黑体" w:cs="黑体"/>
          <w:szCs w:val="32"/>
        </w:rPr>
      </w:pPr>
    </w:p>
    <w:p>
      <w:pPr>
        <w:ind w:firstLine="0" w:firstLineChars="0"/>
        <w:contextualSpacing/>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起草说明</w:t>
      </w:r>
    </w:p>
    <w:p>
      <w:pPr>
        <w:ind w:firstLine="880"/>
        <w:contextualSpacing/>
        <w:rPr>
          <w:rFonts w:ascii="方正小标宋_GBK" w:hAnsi="方正小标宋_GBK" w:eastAsia="方正小标宋_GBK" w:cs="方正小标宋_GBK"/>
          <w:sz w:val="44"/>
          <w:szCs w:val="44"/>
        </w:rPr>
      </w:pPr>
    </w:p>
    <w:p>
      <w:pPr>
        <w:ind w:firstLine="640"/>
        <w:contextualSpacing/>
        <w:rPr>
          <w:rStyle w:val="9"/>
          <w:rFonts w:ascii="黑体" w:hAnsi="黑体" w:eastAsia="黑体" w:cs="黑体"/>
          <w:color w:val="000000"/>
          <w:sz w:val="32"/>
          <w:szCs w:val="32"/>
        </w:rPr>
      </w:pPr>
      <w:r>
        <w:rPr>
          <w:rStyle w:val="9"/>
          <w:rFonts w:hint="eastAsia" w:ascii="黑体" w:hAnsi="黑体" w:eastAsia="黑体" w:cs="黑体"/>
          <w:color w:val="000000"/>
          <w:sz w:val="32"/>
          <w:szCs w:val="32"/>
        </w:rPr>
        <w:t>一、起草背景</w:t>
      </w:r>
    </w:p>
    <w:p>
      <w:pPr>
        <w:ind w:firstLine="640"/>
        <w:contextualSpacing/>
        <w:rPr>
          <w:szCs w:val="32"/>
        </w:rPr>
      </w:pPr>
      <w:r>
        <w:rPr>
          <w:rFonts w:hint="eastAsia"/>
          <w:szCs w:val="32"/>
        </w:rPr>
        <w:t>2</w:t>
      </w:r>
      <w:r>
        <w:rPr>
          <w:szCs w:val="32"/>
        </w:rPr>
        <w:t>009</w:t>
      </w:r>
      <w:r>
        <w:rPr>
          <w:rFonts w:hint="eastAsia"/>
          <w:szCs w:val="32"/>
        </w:rPr>
        <w:t>年新医改启动以来，药品</w:t>
      </w:r>
      <w:r>
        <w:rPr>
          <w:rFonts w:hint="eastAsia"/>
          <w:szCs w:val="32"/>
          <w:lang w:val="en-US" w:eastAsia="zh-CN"/>
        </w:rPr>
        <w:t>领域开始进行</w:t>
      </w:r>
      <w:r>
        <w:rPr>
          <w:rFonts w:hint="eastAsia"/>
          <w:szCs w:val="32"/>
        </w:rPr>
        <w:t>市场化</w:t>
      </w:r>
      <w:r>
        <w:rPr>
          <w:rFonts w:hint="eastAsia"/>
          <w:szCs w:val="32"/>
          <w:lang w:val="en-US" w:eastAsia="zh-CN"/>
        </w:rPr>
        <w:t>探索</w:t>
      </w:r>
      <w:r>
        <w:rPr>
          <w:rFonts w:hint="eastAsia"/>
          <w:szCs w:val="32"/>
        </w:rPr>
        <w:t>。</w:t>
      </w:r>
      <w:r>
        <w:rPr>
          <w:rFonts w:hint="eastAsia"/>
          <w:szCs w:val="32"/>
          <w:lang w:val="en-US" w:eastAsia="zh-CN"/>
        </w:rPr>
        <w:t>2015年，国家发改委等七部门联合印发《关于印发推进药品价格改革意见的通知》（发改价格〔2015〕904号），明确提出“自2015年6月1日起，除麻醉药品和第一类精神药品外，取消药品政府定价，完善药品采购机制，发挥医保控费作用，药品实际交易价格主要由市场竞争形成。”</w:t>
      </w:r>
    </w:p>
    <w:p>
      <w:pPr>
        <w:ind w:firstLine="640"/>
        <w:contextualSpacing/>
        <w:rPr>
          <w:szCs w:val="32"/>
        </w:rPr>
      </w:pPr>
      <w:r>
        <w:rPr>
          <w:rFonts w:hint="eastAsia"/>
          <w:szCs w:val="32"/>
          <w:lang w:val="en-US" w:eastAsia="zh-CN"/>
        </w:rPr>
        <w:t>近</w:t>
      </w:r>
      <w:r>
        <w:rPr>
          <w:rFonts w:hint="eastAsia"/>
          <w:szCs w:val="32"/>
        </w:rPr>
        <w:t>年，根据深化</w:t>
      </w:r>
      <w:r>
        <w:rPr>
          <w:rFonts w:hint="eastAsia"/>
          <w:szCs w:val="32"/>
          <w:lang w:eastAsia="zh-CN"/>
        </w:rPr>
        <w:t>“</w:t>
      </w:r>
      <w:r>
        <w:rPr>
          <w:rFonts w:hint="eastAsia"/>
          <w:szCs w:val="32"/>
        </w:rPr>
        <w:t>放管服</w:t>
      </w:r>
      <w:r>
        <w:rPr>
          <w:rFonts w:hint="eastAsia"/>
          <w:szCs w:val="32"/>
          <w:lang w:eastAsia="zh-CN"/>
        </w:rPr>
        <w:t>”</w:t>
      </w:r>
      <w:r>
        <w:rPr>
          <w:rFonts w:hint="eastAsia"/>
          <w:szCs w:val="32"/>
        </w:rPr>
        <w:t>改革要求，我市“两定协议”取消了对定点零售药店药品零售价1</w:t>
      </w:r>
      <w:r>
        <w:rPr>
          <w:szCs w:val="32"/>
        </w:rPr>
        <w:t>5</w:t>
      </w:r>
      <w:r>
        <w:rPr>
          <w:rFonts w:hint="eastAsia"/>
          <w:szCs w:val="32"/>
        </w:rPr>
        <w:t>%的加成率限制，并且未限定定点零售药店销售集中招标采购中选产品的零售价格。因此，除特殊药品外，当前定点零售药店药品定价主要由企业综合考虑成本、市场供求关系等因素自主定价。</w:t>
      </w:r>
    </w:p>
    <w:p>
      <w:pPr>
        <w:ind w:firstLine="640"/>
        <w:contextualSpacing/>
        <w:rPr>
          <w:rStyle w:val="9"/>
          <w:rFonts w:ascii="黑体" w:hAnsi="黑体" w:eastAsia="黑体" w:cs="黑体"/>
          <w:color w:val="000000"/>
          <w:sz w:val="32"/>
          <w:szCs w:val="32"/>
        </w:rPr>
      </w:pPr>
      <w:r>
        <w:rPr>
          <w:rFonts w:hint="eastAsia"/>
          <w:szCs w:val="32"/>
        </w:rPr>
        <w:t>目前</w:t>
      </w:r>
      <w:r>
        <w:rPr>
          <w:rFonts w:hint="eastAsia"/>
          <w:szCs w:val="32"/>
          <w:lang w:eastAsia="zh-CN"/>
        </w:rPr>
        <w:t>，</w:t>
      </w:r>
      <w:r>
        <w:rPr>
          <w:rFonts w:hint="eastAsia"/>
          <w:szCs w:val="32"/>
        </w:rPr>
        <w:t>价格监管主要依赖于</w:t>
      </w:r>
      <w:r>
        <w:rPr>
          <w:rFonts w:hint="eastAsia"/>
          <w:szCs w:val="32"/>
          <w:lang w:val="en-US" w:eastAsia="zh-CN"/>
        </w:rPr>
        <w:t>群众</w:t>
      </w:r>
      <w:r>
        <w:rPr>
          <w:rFonts w:hint="eastAsia"/>
          <w:szCs w:val="32"/>
        </w:rPr>
        <w:t>对药店“明码标价”的监督以及“参保人购买的同种药品价格不得高于非参保人”等有限的管控措施上，</w:t>
      </w:r>
      <w:r>
        <w:rPr>
          <w:rFonts w:hint="eastAsia"/>
          <w:szCs w:val="32"/>
          <w:lang w:val="en-US" w:eastAsia="zh-CN"/>
        </w:rPr>
        <w:t>无</w:t>
      </w:r>
      <w:r>
        <w:rPr>
          <w:rFonts w:hint="eastAsia"/>
          <w:szCs w:val="32"/>
        </w:rPr>
        <w:t>明确措施和手段对其价格进行</w:t>
      </w:r>
      <w:r>
        <w:rPr>
          <w:rFonts w:hint="eastAsia"/>
          <w:szCs w:val="32"/>
          <w:lang w:val="en-US" w:eastAsia="zh-CN"/>
        </w:rPr>
        <w:t>高效</w:t>
      </w:r>
      <w:r>
        <w:rPr>
          <w:rFonts w:hint="eastAsia"/>
          <w:szCs w:val="32"/>
        </w:rPr>
        <w:t>合理</w:t>
      </w:r>
      <w:r>
        <w:rPr>
          <w:rFonts w:hint="eastAsia"/>
          <w:szCs w:val="32"/>
          <w:lang w:val="en-US" w:eastAsia="zh-CN"/>
        </w:rPr>
        <w:t>监测和</w:t>
      </w:r>
      <w:r>
        <w:rPr>
          <w:rFonts w:hint="eastAsia"/>
          <w:szCs w:val="32"/>
        </w:rPr>
        <w:t>引导，其定价行为存在一定的监管盲区。</w:t>
      </w:r>
    </w:p>
    <w:p>
      <w:pPr>
        <w:ind w:firstLine="640"/>
        <w:contextualSpacing/>
        <w:rPr>
          <w:rStyle w:val="9"/>
          <w:rFonts w:ascii="黑体" w:hAnsi="黑体" w:eastAsia="黑体" w:cs="黑体"/>
          <w:color w:val="000000"/>
          <w:sz w:val="32"/>
          <w:szCs w:val="32"/>
        </w:rPr>
      </w:pPr>
      <w:r>
        <w:rPr>
          <w:rStyle w:val="9"/>
          <w:rFonts w:hint="eastAsia" w:ascii="黑体" w:hAnsi="黑体" w:eastAsia="黑体" w:cs="黑体"/>
          <w:color w:val="000000"/>
          <w:sz w:val="32"/>
          <w:szCs w:val="32"/>
        </w:rPr>
        <w:t>二、必要性</w:t>
      </w:r>
    </w:p>
    <w:p>
      <w:pPr>
        <w:ind w:firstLine="640"/>
        <w:contextualSpacing/>
        <w:rPr>
          <w:rFonts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val="en-US" w:eastAsia="zh-CN"/>
        </w:rPr>
        <w:t>部门</w:t>
      </w:r>
      <w:r>
        <w:rPr>
          <w:rFonts w:hint="eastAsia" w:ascii="楷体_GB2312" w:hAnsi="楷体_GB2312" w:eastAsia="楷体_GB2312" w:cs="楷体_GB2312"/>
          <w:szCs w:val="32"/>
        </w:rPr>
        <w:t>职能和</w:t>
      </w:r>
      <w:r>
        <w:rPr>
          <w:rFonts w:hint="eastAsia" w:ascii="楷体_GB2312" w:hAnsi="楷体_GB2312" w:eastAsia="楷体_GB2312" w:cs="楷体_GB2312"/>
          <w:szCs w:val="32"/>
          <w:lang w:val="en-US" w:eastAsia="zh-CN"/>
        </w:rPr>
        <w:t>上级</w:t>
      </w:r>
      <w:r>
        <w:rPr>
          <w:rFonts w:hint="eastAsia" w:ascii="楷体_GB2312" w:hAnsi="楷体_GB2312" w:eastAsia="楷体_GB2312" w:cs="楷体_GB2312"/>
          <w:szCs w:val="32"/>
        </w:rPr>
        <w:t>政策要求加强药品价格监管</w:t>
      </w:r>
    </w:p>
    <w:p>
      <w:pPr>
        <w:ind w:firstLine="640"/>
        <w:contextualSpacing/>
        <w:rPr>
          <w:rFonts w:hint="default" w:eastAsia="仿宋_GB2312"/>
          <w:szCs w:val="32"/>
          <w:lang w:val="en-US" w:eastAsia="zh-CN"/>
        </w:rPr>
      </w:pPr>
      <w:r>
        <w:rPr>
          <w:rFonts w:hint="eastAsia"/>
          <w:b/>
          <w:bCs/>
          <w:szCs w:val="32"/>
          <w:lang w:val="en-US" w:eastAsia="zh-CN"/>
        </w:rPr>
        <w:t>一是</w:t>
      </w:r>
      <w:r>
        <w:rPr>
          <w:rFonts w:hint="eastAsia"/>
          <w:szCs w:val="32"/>
        </w:rPr>
        <w:t>《中华人民共和国价格法》第三十七条规定：“</w:t>
      </w:r>
      <w:r>
        <w:rPr>
          <w:rFonts w:hint="eastAsia" w:cs="仿宋_GB2312"/>
          <w:color w:val="000000"/>
          <w:szCs w:val="32"/>
        </w:rPr>
        <w:t>消费者组织、职工价格监督组织、居民委员会、村民委员会等组织以及消费者，有权对价格行为进行社会监督。政府价格主管部门应当充分发挥群众的价格监督作用。</w:t>
      </w:r>
      <w:r>
        <w:rPr>
          <w:rFonts w:hint="eastAsia"/>
          <w:szCs w:val="32"/>
        </w:rPr>
        <w:t>”</w:t>
      </w:r>
      <w:r>
        <w:rPr>
          <w:rFonts w:hint="eastAsia"/>
          <w:b/>
          <w:bCs/>
          <w:szCs w:val="32"/>
          <w:lang w:val="en-US" w:eastAsia="zh-CN"/>
        </w:rPr>
        <w:t>二是</w:t>
      </w:r>
      <w:r>
        <w:rPr>
          <w:rFonts w:hint="eastAsia"/>
          <w:szCs w:val="32"/>
        </w:rPr>
        <w:t>根据</w:t>
      </w:r>
      <w:r>
        <w:rPr>
          <w:rFonts w:hint="eastAsia"/>
          <w:szCs w:val="32"/>
          <w:lang w:val="en-US" w:eastAsia="zh-CN"/>
        </w:rPr>
        <w:t>市医保局</w:t>
      </w:r>
      <w:r>
        <w:rPr>
          <w:rFonts w:hint="eastAsia"/>
          <w:szCs w:val="32"/>
        </w:rPr>
        <w:t>“三定”方案，“组织制定药品、医用耗材价格和医疗服务项目、医疗服务设施收费等政策……建立价格信息监测和信息发布制度”，我局承担价格监测和价格信息发布的相关职能。</w:t>
      </w:r>
      <w:r>
        <w:rPr>
          <w:rFonts w:hint="eastAsia"/>
          <w:b/>
          <w:bCs/>
          <w:szCs w:val="32"/>
          <w:lang w:val="en-US" w:eastAsia="zh-CN"/>
        </w:rPr>
        <w:t>三是</w:t>
      </w:r>
      <w:r>
        <w:rPr>
          <w:rFonts w:hint="eastAsia"/>
          <w:szCs w:val="32"/>
        </w:rPr>
        <w:t>2019年11月，国家医疗保障局印发《关于做好当前药品价格管理工作的意见的通知》（医保发〔2019〕67号）</w:t>
      </w:r>
      <w:r>
        <w:rPr>
          <w:rFonts w:hint="eastAsia"/>
          <w:szCs w:val="32"/>
          <w:lang w:eastAsia="zh-CN"/>
        </w:rPr>
        <w:t>，</w:t>
      </w:r>
      <w:r>
        <w:rPr>
          <w:rFonts w:hint="eastAsia"/>
          <w:szCs w:val="32"/>
        </w:rPr>
        <w:t>提出“</w:t>
      </w:r>
      <w:r>
        <w:rPr>
          <w:rFonts w:hint="eastAsia" w:cs="仿宋_GB2312"/>
          <w:color w:val="000000"/>
          <w:szCs w:val="32"/>
          <w:shd w:val="clear" w:color="auto" w:fill="FFFFFF"/>
        </w:rPr>
        <w:t>要在尊重市场规律、尊重经营者自主定价权的基础上，综合运用监测预警、函询约谈、提醒告诫、成本调查、信用评价、信息披露等手段，建立健全药品价格常态化监管机制，促进经营者加强价格自律</w:t>
      </w:r>
      <w:r>
        <w:rPr>
          <w:rFonts w:hint="eastAsia"/>
          <w:szCs w:val="32"/>
        </w:rPr>
        <w:t>”</w:t>
      </w:r>
      <w:r>
        <w:rPr>
          <w:rFonts w:hint="eastAsia"/>
          <w:szCs w:val="32"/>
          <w:lang w:eastAsia="zh-CN"/>
        </w:rPr>
        <w:t>，</w:t>
      </w:r>
      <w:r>
        <w:rPr>
          <w:rFonts w:hint="eastAsia"/>
          <w:szCs w:val="32"/>
          <w:lang w:val="en-US" w:eastAsia="zh-CN"/>
        </w:rPr>
        <w:t>进一步明确了相关要求。</w:t>
      </w:r>
    </w:p>
    <w:p>
      <w:pPr>
        <w:ind w:firstLine="640"/>
        <w:contextualSpacing/>
        <w:rPr>
          <w:rFonts w:ascii="楷体_GB2312" w:hAnsi="楷体_GB2312" w:eastAsia="楷体_GB2312" w:cs="楷体_GB2312"/>
          <w:szCs w:val="32"/>
        </w:rPr>
      </w:pPr>
      <w:r>
        <w:rPr>
          <w:rFonts w:hint="eastAsia" w:ascii="楷体_GB2312" w:hAnsi="楷体_GB2312" w:eastAsia="楷体_GB2312" w:cs="楷体_GB2312"/>
          <w:szCs w:val="32"/>
        </w:rPr>
        <w:t>（二）加强</w:t>
      </w:r>
      <w:r>
        <w:rPr>
          <w:rFonts w:hint="eastAsia" w:ascii="楷体_GB2312" w:hAnsi="楷体_GB2312" w:eastAsia="楷体_GB2312" w:cs="楷体_GB2312"/>
          <w:szCs w:val="32"/>
          <w:lang w:val="en-US" w:eastAsia="zh-CN"/>
        </w:rPr>
        <w:t>药价</w:t>
      </w:r>
      <w:r>
        <w:rPr>
          <w:rFonts w:hint="eastAsia" w:ascii="楷体_GB2312" w:hAnsi="楷体_GB2312" w:eastAsia="楷体_GB2312" w:cs="楷体_GB2312"/>
          <w:szCs w:val="32"/>
        </w:rPr>
        <w:t>监测管理是为民办实事的客观要求</w:t>
      </w:r>
    </w:p>
    <w:p>
      <w:pPr>
        <w:ind w:firstLine="640"/>
        <w:contextualSpacing/>
        <w:rPr>
          <w:rFonts w:hint="eastAsia"/>
          <w:szCs w:val="32"/>
        </w:rPr>
      </w:pPr>
      <w:r>
        <w:rPr>
          <w:rFonts w:hint="eastAsia"/>
          <w:szCs w:val="32"/>
        </w:rPr>
        <w:t>近年来，我局办理的药品方面的投诉咨询件，有很大一部分</w:t>
      </w:r>
      <w:r>
        <w:rPr>
          <w:rFonts w:hint="eastAsia"/>
          <w:szCs w:val="32"/>
          <w:lang w:val="en-US" w:eastAsia="zh-CN"/>
        </w:rPr>
        <w:t>为药价</w:t>
      </w:r>
      <w:r>
        <w:rPr>
          <w:rFonts w:hint="eastAsia"/>
          <w:szCs w:val="32"/>
        </w:rPr>
        <w:t>相关事项，人大代表和政协委员也多次提出加强价格监管、加大信息开放力度等的相关建议。加强药品价格监管、降低药价是人民群众的期盼和要求。当前，价格监测系统建设工作已列为2021年市政府民生实事项目，</w:t>
      </w:r>
      <w:r>
        <w:rPr>
          <w:rFonts w:hint="eastAsia"/>
          <w:szCs w:val="32"/>
          <w:lang w:val="en-US" w:eastAsia="zh-CN"/>
        </w:rPr>
        <w:t>并列入深圳市“我为群众办实事”重点民生项目清单，</w:t>
      </w:r>
      <w:r>
        <w:rPr>
          <w:rFonts w:hint="eastAsia"/>
          <w:szCs w:val="32"/>
        </w:rPr>
        <w:t>这是我局主动回应人民群众期盼、解决人民困难的重要举措，也是市政府对人民群众作出的庄严承诺。</w:t>
      </w:r>
    </w:p>
    <w:p>
      <w:pPr>
        <w:ind w:firstLine="640"/>
        <w:contextualSpacing/>
        <w:rPr>
          <w:rFonts w:hint="default" w:eastAsia="仿宋_GB2312"/>
          <w:szCs w:val="32"/>
          <w:lang w:val="en-US" w:eastAsia="zh-CN"/>
        </w:rPr>
      </w:pPr>
      <w:r>
        <w:rPr>
          <w:rFonts w:hint="eastAsia"/>
          <w:szCs w:val="32"/>
          <w:lang w:val="en-US" w:eastAsia="zh-CN"/>
        </w:rPr>
        <w:t>为此，我局起草了《深圳市医疗保障局关于加强定点零售药店医保药品价格监测管理的通知》（以下简称《通知》），着力加强药价监测管理，推进价格进一步公开透明，发挥群众监督作用，促进经营者加强价格自律，结合医保、市场监管等部门监督执法，进一步发挥“有效市场、有为政府”的作用。</w:t>
      </w:r>
    </w:p>
    <w:p>
      <w:pPr>
        <w:ind w:firstLine="640"/>
        <w:contextualSpacing/>
        <w:rPr>
          <w:rFonts w:hint="eastAsia" w:ascii="黑体" w:hAnsi="黑体" w:eastAsia="黑体" w:cs="黑体"/>
          <w:szCs w:val="32"/>
          <w:lang w:val="en-US" w:eastAsia="zh-CN"/>
        </w:rPr>
      </w:pPr>
      <w:r>
        <w:rPr>
          <w:rFonts w:hint="eastAsia" w:ascii="黑体" w:hAnsi="黑体" w:eastAsia="黑体" w:cs="黑体"/>
          <w:szCs w:val="32"/>
        </w:rPr>
        <w:t>三、主要内容</w:t>
      </w:r>
      <w:r>
        <w:rPr>
          <w:rFonts w:hint="eastAsia" w:ascii="黑体" w:hAnsi="黑体" w:eastAsia="黑体" w:cs="黑体"/>
          <w:szCs w:val="32"/>
          <w:lang w:val="en-US" w:eastAsia="zh-CN"/>
        </w:rPr>
        <w:t>说明</w:t>
      </w:r>
    </w:p>
    <w:p>
      <w:pPr>
        <w:ind w:firstLine="640"/>
        <w:contextualSpacing/>
        <w:rPr>
          <w:rFonts w:hint="default"/>
          <w:szCs w:val="32"/>
          <w:lang w:val="en-US"/>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val="en-US" w:eastAsia="zh-CN"/>
        </w:rPr>
        <w:t>监测范围内容</w:t>
      </w:r>
      <w:r>
        <w:rPr>
          <w:rFonts w:hint="eastAsia" w:ascii="楷体_GB2312" w:hAnsi="楷体_GB2312" w:eastAsia="楷体_GB2312" w:cs="楷体_GB2312"/>
          <w:szCs w:val="32"/>
        </w:rPr>
        <w:t>。</w:t>
      </w:r>
      <w:r>
        <w:rPr>
          <w:rFonts w:hint="eastAsia" w:ascii="Times New Roman" w:hAnsi="Times New Roman" w:eastAsia="仿宋_GB2312"/>
          <w:color w:val="000000"/>
          <w:sz w:val="32"/>
          <w:szCs w:val="32"/>
          <w:shd w:val="clear" w:color="auto" w:fill="FFFFFF"/>
          <w:lang w:val="en-US" w:eastAsia="zh-CN"/>
        </w:rPr>
        <w:t>我局将依托</w:t>
      </w:r>
      <w:r>
        <w:rPr>
          <w:rFonts w:ascii="Times New Roman" w:hAnsi="Times New Roman" w:eastAsia="仿宋_GB2312"/>
          <w:color w:val="000000"/>
          <w:sz w:val="32"/>
          <w:szCs w:val="32"/>
          <w:shd w:val="clear" w:color="auto" w:fill="FFFFFF"/>
        </w:rPr>
        <w:t>深圳市定点零售药店医保药品价格监测系统（以下简称药价监测系统）</w:t>
      </w:r>
      <w:r>
        <w:rPr>
          <w:rFonts w:hint="eastAsia" w:ascii="Times New Roman" w:hAnsi="Times New Roman"/>
          <w:color w:val="000000"/>
          <w:sz w:val="32"/>
          <w:szCs w:val="32"/>
          <w:shd w:val="clear" w:color="auto" w:fill="FFFFFF"/>
          <w:lang w:val="en-US" w:eastAsia="zh-CN"/>
        </w:rPr>
        <w:t>加强相关药价监测管理工作，该系统数据来源于</w:t>
      </w:r>
      <w:r>
        <w:rPr>
          <w:rFonts w:hint="eastAsia" w:ascii="Times New Roman" w:hAnsi="Times New Roman" w:eastAsia="仿宋_GB2312"/>
          <w:color w:val="000000"/>
          <w:sz w:val="32"/>
          <w:szCs w:val="32"/>
          <w:shd w:val="clear" w:color="auto" w:fill="FFFFFF"/>
          <w:lang w:val="en-US" w:eastAsia="zh-CN"/>
        </w:rPr>
        <w:t>全市</w:t>
      </w:r>
      <w:r>
        <w:rPr>
          <w:rFonts w:ascii="Times New Roman" w:hAnsi="Times New Roman" w:eastAsia="仿宋_GB2312"/>
          <w:sz w:val="32"/>
          <w:szCs w:val="32"/>
          <w:shd w:val="clear" w:color="auto" w:fill="FFFFFF"/>
        </w:rPr>
        <w:t>定点零售药店医保药品刷卡记账数据</w:t>
      </w:r>
      <w:r>
        <w:rPr>
          <w:rFonts w:hint="eastAsia" w:ascii="Times New Roman" w:hAnsi="Times New Roman"/>
          <w:sz w:val="32"/>
          <w:szCs w:val="32"/>
          <w:shd w:val="clear" w:color="auto" w:fill="FFFFFF"/>
          <w:lang w:eastAsia="zh-CN"/>
        </w:rPr>
        <w:t>，</w:t>
      </w:r>
      <w:r>
        <w:rPr>
          <w:rFonts w:hint="eastAsia" w:ascii="Times New Roman" w:hAnsi="Times New Roman"/>
          <w:sz w:val="32"/>
          <w:szCs w:val="32"/>
          <w:shd w:val="clear" w:color="auto" w:fill="FFFFFF"/>
          <w:lang w:val="en-US" w:eastAsia="zh-CN"/>
        </w:rPr>
        <w:t>将纳入我市所有产生刷卡记账数据的定点零售药店。其中，我局将有特殊管理要求的国家、省、市集采中选产品、国家医保谈判药品等九类药品进行重点监测。</w:t>
      </w:r>
    </w:p>
    <w:p>
      <w:pPr>
        <w:ind w:firstLine="640"/>
        <w:contextualSpacing/>
        <w:rPr>
          <w:rFonts w:hint="default"/>
          <w:szCs w:val="32"/>
          <w:lang w:val="en-US" w:eastAsia="zh-CN"/>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val="en-US" w:eastAsia="zh-CN"/>
        </w:rPr>
        <w:t>监测管理方式</w:t>
      </w:r>
      <w:r>
        <w:rPr>
          <w:rFonts w:hint="eastAsia" w:ascii="楷体_GB2312" w:hAnsi="楷体_GB2312" w:eastAsia="楷体_GB2312" w:cs="楷体_GB2312"/>
          <w:szCs w:val="32"/>
        </w:rPr>
        <w:t>。</w:t>
      </w:r>
      <w:r>
        <w:rPr>
          <w:rFonts w:hint="eastAsia"/>
          <w:b/>
          <w:bCs/>
          <w:szCs w:val="32"/>
          <w:lang w:val="en-US" w:eastAsia="zh-CN"/>
        </w:rPr>
        <w:t>一是</w:t>
      </w:r>
      <w:r>
        <w:rPr>
          <w:rFonts w:hint="eastAsia"/>
          <w:szCs w:val="32"/>
          <w:lang w:val="en-US" w:eastAsia="zh-CN"/>
        </w:rPr>
        <w:t>加强药价政策宣导，强化定点零售药店依法依规定价、诚信经营；</w:t>
      </w:r>
      <w:r>
        <w:rPr>
          <w:rFonts w:hint="eastAsia"/>
          <w:b/>
          <w:bCs/>
          <w:szCs w:val="32"/>
          <w:lang w:val="en-US" w:eastAsia="zh-CN"/>
        </w:rPr>
        <w:t>二是</w:t>
      </w:r>
      <w:r>
        <w:rPr>
          <w:rFonts w:hint="eastAsia"/>
          <w:szCs w:val="32"/>
          <w:lang w:val="en-US" w:eastAsia="zh-CN"/>
        </w:rPr>
        <w:t>依托药价监测系统做好日常监测预警、披露工作，主要以协议管理的方式明确我局与定点零售药店的权利义务；</w:t>
      </w:r>
      <w:r>
        <w:rPr>
          <w:rFonts w:hint="eastAsia"/>
          <w:b/>
          <w:bCs/>
          <w:szCs w:val="32"/>
          <w:lang w:val="en-US" w:eastAsia="zh-CN"/>
        </w:rPr>
        <w:t>三是</w:t>
      </w:r>
      <w:r>
        <w:rPr>
          <w:rFonts w:hint="eastAsia"/>
          <w:szCs w:val="32"/>
          <w:lang w:val="en-US" w:eastAsia="zh-CN"/>
        </w:rPr>
        <w:t>对价格违法违规的行为，</w:t>
      </w:r>
      <w:r>
        <w:rPr>
          <w:rFonts w:hint="eastAsia" w:ascii="Times New Roman" w:hAnsi="Times New Roman" w:eastAsia="仿宋_GB2312"/>
          <w:sz w:val="32"/>
          <w:szCs w:val="32"/>
          <w:shd w:val="clear" w:color="auto" w:fill="FFFFFF"/>
          <w:lang w:val="en-US" w:eastAsia="zh-CN"/>
        </w:rPr>
        <w:t>经核实后</w:t>
      </w:r>
      <w:r>
        <w:rPr>
          <w:rFonts w:hint="eastAsia" w:ascii="Times New Roman" w:hAnsi="Times New Roman"/>
          <w:sz w:val="32"/>
          <w:szCs w:val="32"/>
          <w:shd w:val="clear" w:color="auto" w:fill="FFFFFF"/>
          <w:lang w:val="en-US" w:eastAsia="zh-CN"/>
        </w:rPr>
        <w:t>依法依规由各相关职能部门</w:t>
      </w:r>
      <w:r>
        <w:rPr>
          <w:rFonts w:hint="eastAsia"/>
          <w:szCs w:val="32"/>
          <w:lang w:val="en-US" w:eastAsia="zh-CN"/>
        </w:rPr>
        <w:t>进行处理。</w:t>
      </w:r>
    </w:p>
    <w:p>
      <w:pPr>
        <w:ind w:firstLine="640"/>
        <w:contextualSpacing/>
        <w:rPr>
          <w:rFonts w:hint="default" w:eastAsia="仿宋_GB2312"/>
          <w:szCs w:val="32"/>
          <w:lang w:val="en-US" w:eastAsia="zh-CN"/>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三</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加强社会监督。</w:t>
      </w:r>
      <w:r>
        <w:rPr>
          <w:rFonts w:hint="eastAsia"/>
          <w:szCs w:val="32"/>
          <w:lang w:val="en-US" w:eastAsia="zh-CN"/>
        </w:rPr>
        <w:t>根据《</w:t>
      </w:r>
      <w:r>
        <w:rPr>
          <w:rFonts w:hint="eastAsia"/>
          <w:szCs w:val="32"/>
        </w:rPr>
        <w:t>中华人民共和国价格法</w:t>
      </w:r>
      <w:r>
        <w:rPr>
          <w:rFonts w:hint="eastAsia"/>
          <w:szCs w:val="32"/>
          <w:lang w:val="en-US" w:eastAsia="zh-CN"/>
        </w:rPr>
        <w:t>》、发展改革委等七部门《关于印发&lt;推进药品价格改革意见&gt;的通知》（发改价格〔2015〕904号）、《国家医疗保障局关于印发&lt;</w:t>
      </w:r>
      <w:r>
        <w:rPr>
          <w:rFonts w:hint="eastAsia"/>
          <w:szCs w:val="32"/>
        </w:rPr>
        <w:t>关于做好当前药品价格管理工作的意见</w:t>
      </w:r>
      <w:r>
        <w:rPr>
          <w:rFonts w:hint="eastAsia"/>
          <w:szCs w:val="32"/>
          <w:lang w:val="en-US" w:eastAsia="zh-CN"/>
        </w:rPr>
        <w:t>&gt;</w:t>
      </w:r>
      <w:r>
        <w:rPr>
          <w:rFonts w:hint="eastAsia"/>
          <w:szCs w:val="32"/>
        </w:rPr>
        <w:t>的通知》</w:t>
      </w:r>
      <w:r>
        <w:rPr>
          <w:rFonts w:hint="eastAsia"/>
          <w:szCs w:val="32"/>
          <w:lang w:eastAsia="zh-CN"/>
        </w:rPr>
        <w:t>（医保发〔2019〕67号）</w:t>
      </w:r>
      <w:r>
        <w:rPr>
          <w:rFonts w:hint="eastAsia"/>
          <w:szCs w:val="32"/>
          <w:lang w:val="en-US" w:eastAsia="zh-CN"/>
        </w:rPr>
        <w:t>等相关文件要求，我局将</w:t>
      </w:r>
      <w:r>
        <w:rPr>
          <w:rFonts w:hint="eastAsia" w:cs="仿宋_GB2312"/>
          <w:color w:val="000000"/>
          <w:szCs w:val="32"/>
        </w:rPr>
        <w:t>充分发挥群众的价格监督作用</w:t>
      </w:r>
      <w:r>
        <w:rPr>
          <w:rFonts w:hint="eastAsia" w:cs="仿宋_GB2312"/>
          <w:color w:val="000000"/>
          <w:szCs w:val="32"/>
          <w:lang w:eastAsia="zh-CN"/>
        </w:rPr>
        <w:t>，</w:t>
      </w:r>
      <w:r>
        <w:rPr>
          <w:rFonts w:hint="eastAsia" w:cs="仿宋_GB2312"/>
          <w:color w:val="000000"/>
          <w:szCs w:val="32"/>
          <w:lang w:val="en-US" w:eastAsia="zh-CN"/>
        </w:rPr>
        <w:t>向群众开放药价查询服务</w:t>
      </w:r>
      <w:r>
        <w:rPr>
          <w:rFonts w:hint="eastAsia" w:cs="仿宋_GB2312"/>
          <w:color w:val="000000"/>
          <w:szCs w:val="32"/>
          <w:lang w:eastAsia="zh-CN"/>
        </w:rPr>
        <w:t>，</w:t>
      </w:r>
      <w:r>
        <w:rPr>
          <w:rFonts w:hint="eastAsia" w:ascii="仿宋_GB2312" w:hAnsi="仿宋_GB2312" w:eastAsia="仿宋_GB2312" w:cs="仿宋_GB2312"/>
          <w:sz w:val="32"/>
          <w:szCs w:val="32"/>
          <w:shd w:val="clear" w:color="auto" w:fill="FFFFFF"/>
          <w:lang w:val="en-US" w:eastAsia="zh-CN"/>
        </w:rPr>
        <w:t>切实保障群众</w:t>
      </w:r>
      <w:r>
        <w:rPr>
          <w:rFonts w:ascii="仿宋_GB2312" w:hAnsi="仿宋_GB2312" w:eastAsia="仿宋_GB2312" w:cs="仿宋_GB2312"/>
          <w:sz w:val="32"/>
          <w:szCs w:val="32"/>
          <w:shd w:val="clear" w:color="auto" w:fill="FFFFFF"/>
        </w:rPr>
        <w:t>对药品价格的知情权、选择权和监督权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让购药群众</w:t>
      </w:r>
      <w:r>
        <w:rPr>
          <w:rFonts w:ascii="仿宋_GB2312" w:hAnsi="仿宋_GB2312" w:eastAsia="仿宋_GB2312" w:cs="仿宋_GB2312"/>
          <w:sz w:val="32"/>
          <w:szCs w:val="32"/>
          <w:shd w:val="clear" w:color="auto" w:fill="FFFFFF"/>
        </w:rPr>
        <w:t>“价比三家</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并</w:t>
      </w:r>
      <w:r>
        <w:rPr>
          <w:rFonts w:hint="eastAsia" w:ascii="仿宋_GB2312" w:hAnsi="仿宋_GB2312" w:eastAsia="仿宋_GB2312" w:cs="仿宋_GB2312"/>
          <w:sz w:val="32"/>
          <w:szCs w:val="32"/>
          <w:shd w:val="clear" w:color="auto" w:fill="FFFFFF"/>
          <w:lang w:eastAsia="zh-CN"/>
        </w:rPr>
        <w:t>“</w:t>
      </w:r>
      <w:r>
        <w:rPr>
          <w:rFonts w:ascii="仿宋_GB2312" w:hAnsi="仿宋_GB2312" w:eastAsia="仿宋_GB2312" w:cs="仿宋_GB2312"/>
          <w:sz w:val="32"/>
          <w:szCs w:val="32"/>
          <w:shd w:val="clear" w:color="auto" w:fill="FFFFFF"/>
        </w:rPr>
        <w:t>用脚投票”</w:t>
      </w:r>
      <w:r>
        <w:rPr>
          <w:rFonts w:hint="eastAsia" w:ascii="仿宋_GB2312" w:hAnsi="仿宋_GB2312" w:eastAsia="仿宋_GB2312" w:cs="仿宋_GB2312"/>
          <w:sz w:val="32"/>
          <w:szCs w:val="32"/>
          <w:shd w:val="clear" w:color="auto" w:fill="FFFFFF"/>
          <w:lang w:eastAsia="zh-CN"/>
        </w:rPr>
        <w:t>，</w:t>
      </w:r>
      <w:r>
        <w:rPr>
          <w:rFonts w:hint="eastAsia" w:ascii="Times New Roman" w:hAnsi="Times New Roman" w:cs="Times New Roman"/>
          <w:szCs w:val="32"/>
        </w:rPr>
        <w:t>共同促进药品定价规范有序</w:t>
      </w:r>
      <w:r>
        <w:rPr>
          <w:rFonts w:hint="eastAsia" w:ascii="Times New Roman" w:hAnsi="Times New Roman" w:cs="Times New Roman"/>
          <w:szCs w:val="32"/>
          <w:lang w:eastAsia="zh-CN"/>
        </w:rPr>
        <w:t>。</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sz w:val="36"/>
                              <w:szCs w:val="36"/>
                              <w:lang w:eastAsia="zh-CN"/>
                            </w:rPr>
                          </w:pPr>
                          <w:r>
                            <w:rPr>
                              <w:rFonts w:hint="eastAsia"/>
                              <w:sz w:val="36"/>
                              <w:szCs w:val="36"/>
                              <w:lang w:eastAsia="zh-CN"/>
                            </w:rPr>
                            <w:t>—</w:t>
                          </w:r>
                          <w:r>
                            <w:rPr>
                              <w:rFonts w:hint="eastAsia"/>
                              <w:sz w:val="36"/>
                              <w:szCs w:val="36"/>
                              <w:lang w:eastAsia="zh-CN"/>
                            </w:rPr>
                            <w:fldChar w:fldCharType="begin"/>
                          </w:r>
                          <w:r>
                            <w:rPr>
                              <w:rFonts w:hint="eastAsia"/>
                              <w:sz w:val="36"/>
                              <w:szCs w:val="36"/>
                              <w:lang w:eastAsia="zh-CN"/>
                            </w:rPr>
                            <w:instrText xml:space="preserve"> PAGE  \* MERGEFORMAT </w:instrText>
                          </w:r>
                          <w:r>
                            <w:rPr>
                              <w:rFonts w:hint="eastAsia"/>
                              <w:sz w:val="36"/>
                              <w:szCs w:val="36"/>
                              <w:lang w:eastAsia="zh-CN"/>
                            </w:rPr>
                            <w:fldChar w:fldCharType="separate"/>
                          </w:r>
                          <w:r>
                            <w:rPr>
                              <w:rFonts w:hint="eastAsia"/>
                              <w:sz w:val="36"/>
                              <w:szCs w:val="36"/>
                              <w:lang w:eastAsia="zh-CN"/>
                            </w:rPr>
                            <w:t>1</w:t>
                          </w:r>
                          <w:r>
                            <w:rPr>
                              <w:rFonts w:hint="eastAsia"/>
                              <w:sz w:val="36"/>
                              <w:szCs w:val="36"/>
                              <w:lang w:eastAsia="zh-CN"/>
                            </w:rPr>
                            <w:fldChar w:fldCharType="end"/>
                          </w:r>
                          <w:r>
                            <w:rPr>
                              <w:rFonts w:hint="eastAsia"/>
                              <w:sz w:val="36"/>
                              <w:szCs w:val="36"/>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仿宋_GB2312"/>
                        <w:sz w:val="36"/>
                        <w:szCs w:val="36"/>
                        <w:lang w:eastAsia="zh-CN"/>
                      </w:rPr>
                    </w:pPr>
                    <w:r>
                      <w:rPr>
                        <w:rFonts w:hint="eastAsia"/>
                        <w:sz w:val="36"/>
                        <w:szCs w:val="36"/>
                        <w:lang w:eastAsia="zh-CN"/>
                      </w:rPr>
                      <w:t>—</w:t>
                    </w:r>
                    <w:r>
                      <w:rPr>
                        <w:rFonts w:hint="eastAsia"/>
                        <w:sz w:val="36"/>
                        <w:szCs w:val="36"/>
                        <w:lang w:eastAsia="zh-CN"/>
                      </w:rPr>
                      <w:fldChar w:fldCharType="begin"/>
                    </w:r>
                    <w:r>
                      <w:rPr>
                        <w:rFonts w:hint="eastAsia"/>
                        <w:sz w:val="36"/>
                        <w:szCs w:val="36"/>
                        <w:lang w:eastAsia="zh-CN"/>
                      </w:rPr>
                      <w:instrText xml:space="preserve"> PAGE  \* MERGEFORMAT </w:instrText>
                    </w:r>
                    <w:r>
                      <w:rPr>
                        <w:rFonts w:hint="eastAsia"/>
                        <w:sz w:val="36"/>
                        <w:szCs w:val="36"/>
                        <w:lang w:eastAsia="zh-CN"/>
                      </w:rPr>
                      <w:fldChar w:fldCharType="separate"/>
                    </w:r>
                    <w:r>
                      <w:rPr>
                        <w:rFonts w:hint="eastAsia"/>
                        <w:sz w:val="36"/>
                        <w:szCs w:val="36"/>
                        <w:lang w:eastAsia="zh-CN"/>
                      </w:rPr>
                      <w:t>1</w:t>
                    </w:r>
                    <w:r>
                      <w:rPr>
                        <w:rFonts w:hint="eastAsia"/>
                        <w:sz w:val="36"/>
                        <w:szCs w:val="36"/>
                        <w:lang w:eastAsia="zh-CN"/>
                      </w:rPr>
                      <w:fldChar w:fldCharType="end"/>
                    </w:r>
                    <w:r>
                      <w:rPr>
                        <w:rFonts w:hint="eastAsia"/>
                        <w:sz w:val="36"/>
                        <w:szCs w:val="36"/>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2F40"/>
    <w:rsid w:val="00801AA7"/>
    <w:rsid w:val="01543B6F"/>
    <w:rsid w:val="031B294E"/>
    <w:rsid w:val="037A280B"/>
    <w:rsid w:val="050D20A6"/>
    <w:rsid w:val="06A056BD"/>
    <w:rsid w:val="0B6B3BE2"/>
    <w:rsid w:val="0C620C3C"/>
    <w:rsid w:val="0C8B540D"/>
    <w:rsid w:val="0CE411A0"/>
    <w:rsid w:val="0D7268A4"/>
    <w:rsid w:val="0D9E2040"/>
    <w:rsid w:val="0DB808D4"/>
    <w:rsid w:val="0DBB4193"/>
    <w:rsid w:val="0FF9206A"/>
    <w:rsid w:val="11CB5170"/>
    <w:rsid w:val="128252A6"/>
    <w:rsid w:val="14B55606"/>
    <w:rsid w:val="15203B8B"/>
    <w:rsid w:val="15A26008"/>
    <w:rsid w:val="15D7272E"/>
    <w:rsid w:val="18655EF5"/>
    <w:rsid w:val="197108EC"/>
    <w:rsid w:val="19E03352"/>
    <w:rsid w:val="1A5D4694"/>
    <w:rsid w:val="1CF70977"/>
    <w:rsid w:val="1D2779BC"/>
    <w:rsid w:val="1DE01380"/>
    <w:rsid w:val="204D5BB9"/>
    <w:rsid w:val="211051DB"/>
    <w:rsid w:val="216342A4"/>
    <w:rsid w:val="21787B15"/>
    <w:rsid w:val="22346580"/>
    <w:rsid w:val="24507CDD"/>
    <w:rsid w:val="265F2A69"/>
    <w:rsid w:val="27D8067E"/>
    <w:rsid w:val="29637E08"/>
    <w:rsid w:val="2B527C3E"/>
    <w:rsid w:val="2E0C70B5"/>
    <w:rsid w:val="2E2D1B92"/>
    <w:rsid w:val="2E660D15"/>
    <w:rsid w:val="2EBF4127"/>
    <w:rsid w:val="2F33717F"/>
    <w:rsid w:val="2F362E7B"/>
    <w:rsid w:val="2F552523"/>
    <w:rsid w:val="2FA56C18"/>
    <w:rsid w:val="30A04BAE"/>
    <w:rsid w:val="323A3B98"/>
    <w:rsid w:val="38F119D1"/>
    <w:rsid w:val="3A8B2716"/>
    <w:rsid w:val="3ABA41D5"/>
    <w:rsid w:val="3B552DA8"/>
    <w:rsid w:val="3B5D2301"/>
    <w:rsid w:val="3BFF5949"/>
    <w:rsid w:val="3CE40DD6"/>
    <w:rsid w:val="3F793F99"/>
    <w:rsid w:val="3FF15048"/>
    <w:rsid w:val="411D192D"/>
    <w:rsid w:val="4451776E"/>
    <w:rsid w:val="44603050"/>
    <w:rsid w:val="446852E3"/>
    <w:rsid w:val="452D6BC0"/>
    <w:rsid w:val="45642731"/>
    <w:rsid w:val="45AA349B"/>
    <w:rsid w:val="46505100"/>
    <w:rsid w:val="46FD12B7"/>
    <w:rsid w:val="48FC3D4B"/>
    <w:rsid w:val="49BC6178"/>
    <w:rsid w:val="4A376D9F"/>
    <w:rsid w:val="4B595CBB"/>
    <w:rsid w:val="4D293A2A"/>
    <w:rsid w:val="4D5B6964"/>
    <w:rsid w:val="4DA05C79"/>
    <w:rsid w:val="4DE555BB"/>
    <w:rsid w:val="4E650DDB"/>
    <w:rsid w:val="502A3C09"/>
    <w:rsid w:val="52625CEF"/>
    <w:rsid w:val="53476519"/>
    <w:rsid w:val="56660AAA"/>
    <w:rsid w:val="56FA4D06"/>
    <w:rsid w:val="5CEE143B"/>
    <w:rsid w:val="603D0D48"/>
    <w:rsid w:val="63746068"/>
    <w:rsid w:val="651106AA"/>
    <w:rsid w:val="657E6D1F"/>
    <w:rsid w:val="65D44AD6"/>
    <w:rsid w:val="672E44D2"/>
    <w:rsid w:val="69680FCF"/>
    <w:rsid w:val="69B814CD"/>
    <w:rsid w:val="6BC173C7"/>
    <w:rsid w:val="6C474077"/>
    <w:rsid w:val="6E34159E"/>
    <w:rsid w:val="6F385191"/>
    <w:rsid w:val="70277638"/>
    <w:rsid w:val="70984073"/>
    <w:rsid w:val="74563498"/>
    <w:rsid w:val="74A56A93"/>
    <w:rsid w:val="74DE78AF"/>
    <w:rsid w:val="75014596"/>
    <w:rsid w:val="75472BCD"/>
    <w:rsid w:val="75884746"/>
    <w:rsid w:val="75D46672"/>
    <w:rsid w:val="78F406CF"/>
    <w:rsid w:val="79E14B0A"/>
    <w:rsid w:val="79E35D35"/>
    <w:rsid w:val="7A6846F1"/>
    <w:rsid w:val="7A9957CA"/>
    <w:rsid w:val="7B3E27AB"/>
    <w:rsid w:val="7CE03A9C"/>
    <w:rsid w:val="7E9E60DF"/>
    <w:rsid w:val="7EE1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kern w:val="44"/>
      <w:sz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楷体_GB231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5">
    <w:name w:val="footer"/>
    <w:basedOn w:val="1"/>
    <w:qFormat/>
    <w:uiPriority w:val="0"/>
    <w:pPr>
      <w:tabs>
        <w:tab w:val="center" w:pos="4153"/>
        <w:tab w:val="right" w:pos="8306"/>
      </w:tabs>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2021-08-06T08:41:00Z</dcterms:created>
  <dc:creator>DELL</dc:creator>
  <cp:lastModifiedBy>陈海涵</cp:lastModifiedBy>
  <dcterms:modified xsi:type="dcterms:W3CDTF">2021-09-09T07:22:40Z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