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adjustRightInd w:val="0"/>
        <w:snapToGrid w:val="0"/>
        <w:spacing w:line="540" w:lineRule="exact"/>
        <w:jc w:val="center"/>
        <w:rPr>
          <w:rFonts w:hint="eastAsia" w:ascii="方正小标宋简体" w:hAnsi="华文中宋" w:eastAsia="方正小标宋简体"/>
          <w:sz w:val="44"/>
          <w:szCs w:val="44"/>
        </w:rPr>
      </w:pPr>
      <w:r>
        <w:rPr>
          <w:rFonts w:hint="eastAsia" w:ascii="方正小标宋简体" w:hAnsi="华文中宋" w:eastAsia="方正小标宋简体"/>
          <w:sz w:val="44"/>
          <w:szCs w:val="44"/>
        </w:rPr>
        <w:t>北京市母婴友好医院标准（2021年版）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7"/>
        <w:gridCol w:w="3210"/>
        <w:gridCol w:w="91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57" w:type="dxa"/>
            <w:noWrap w:val="0"/>
            <w:vAlign w:val="top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评估项目</w:t>
            </w:r>
          </w:p>
        </w:tc>
        <w:tc>
          <w:tcPr>
            <w:tcW w:w="3210" w:type="dxa"/>
            <w:noWrap w:val="0"/>
            <w:vAlign w:val="top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评估内容</w:t>
            </w:r>
          </w:p>
        </w:tc>
        <w:tc>
          <w:tcPr>
            <w:tcW w:w="9190" w:type="dxa"/>
            <w:noWrap w:val="0"/>
            <w:vAlign w:val="top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主要指标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9" w:hRule="atLeast"/>
          <w:jc w:val="center"/>
        </w:trPr>
        <w:tc>
          <w:tcPr>
            <w:tcW w:w="1857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一、母婴友好支持（20分）</w:t>
            </w:r>
          </w:p>
        </w:tc>
        <w:tc>
          <w:tcPr>
            <w:tcW w:w="3210" w:type="dxa"/>
            <w:noWrap w:val="0"/>
            <w:vAlign w:val="center"/>
          </w:tcPr>
          <w:p>
            <w:pPr>
              <w:pStyle w:val="30"/>
              <w:widowControl w:val="0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（一）健全工作机制，确定妇幼健康工作牵头部门，建立母婴安全保障管理机制和母乳喂养促进提升机制（7分）</w:t>
            </w:r>
          </w:p>
        </w:tc>
        <w:tc>
          <w:tcPr>
            <w:tcW w:w="9190" w:type="dxa"/>
            <w:noWrap w:val="0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1.由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医务处（科）牵头建立妇产科、儿科（新生儿科）、护理部、健康教育科等多部门分工协作的母婴友好服务工作机制。（1分）</w:t>
            </w:r>
          </w:p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2.制定保障母婴安全、促进自然分娩和母乳喂养的工作措施、流程和质控方案等，并推进落实。（2分）</w:t>
            </w:r>
          </w:p>
          <w:p>
            <w:pPr>
              <w:snapToGrid w:val="0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3.定期开展工作评估，针对问题提出改进措施。（2分）</w:t>
            </w:r>
          </w:p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4.严禁医疗机构人员推销宣传母乳代用品。不允许母乳代用品生产厂家、销售商以任何形式在院内开展相关产品发放、宣传和销售。院内商品部不得销售6个月以内的婴儿奶粉。（2分）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57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3210" w:type="dxa"/>
            <w:noWrap w:val="0"/>
            <w:vAlign w:val="center"/>
          </w:tcPr>
          <w:p>
            <w:pPr>
              <w:pStyle w:val="30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（二）强化能力提升，建立促进母乳喂养知识技能提升的长效培训机制（6分）</w:t>
            </w:r>
          </w:p>
        </w:tc>
        <w:tc>
          <w:tcPr>
            <w:tcW w:w="9190" w:type="dxa"/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1.每年开展母乳喂养培训，符合爱婴医院建设要求。（2分）</w:t>
            </w:r>
          </w:p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2.每年开展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促进自然分娩知识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技能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培训。（2分）</w:t>
            </w:r>
          </w:p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3.每次培训后开展培训效果评估，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了解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医护人员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对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培训知识和技能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的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掌握程度。（2分）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57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3210" w:type="dxa"/>
            <w:noWrap w:val="0"/>
            <w:vAlign w:val="center"/>
          </w:tcPr>
          <w:p>
            <w:pPr>
              <w:pStyle w:val="30"/>
              <w:widowControl w:val="0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（三）重视考核激励，将母婴安全主要指标纳入产、儿科质量控制和绩效考核体系，有改善产、儿科服务质量的激励机制（7分）</w:t>
            </w:r>
          </w:p>
        </w:tc>
        <w:tc>
          <w:tcPr>
            <w:tcW w:w="9190" w:type="dxa"/>
            <w:noWrap w:val="0"/>
            <w:vAlign w:val="center"/>
          </w:tcPr>
          <w:p>
            <w:pPr>
              <w:pStyle w:val="30"/>
              <w:widowControl w:val="0"/>
              <w:ind w:firstLine="0" w:firstLineChars="0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1.将改善产、儿科服务（控制孕产妇和新生儿死亡、控制非医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/>
              </w:rPr>
              <w:t>学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指征剖宫产、新生儿早期基本保健服务等）和母乳喂养核心指标（纯母乳喂养率）纳入产、儿科质量控制指标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当纯母乳喂养指标水平低于80％，要找出原因，制定改进措施。（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分）</w:t>
            </w:r>
          </w:p>
          <w:p>
            <w:pPr>
              <w:pStyle w:val="30"/>
              <w:widowControl w:val="0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2.建立改善产、儿科服务质量的激励机制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/>
              </w:rPr>
              <w:t>及绩效考核机制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。（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57" w:type="dxa"/>
            <w:vMerge w:val="restart"/>
            <w:noWrap w:val="0"/>
            <w:vAlign w:val="center"/>
          </w:tcPr>
          <w:p>
            <w:pPr>
              <w:pStyle w:val="30"/>
              <w:widowControl w:val="0"/>
              <w:ind w:firstLine="0" w:firstLineChars="0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二、</w:t>
            </w:r>
            <w:r>
              <w:rPr>
                <w:rFonts w:hint="eastAsia" w:ascii="黑体" w:hAnsi="黑体" w:eastAsia="黑体" w:cs="黑体"/>
                <w:kern w:val="2"/>
                <w:sz w:val="24"/>
                <w:szCs w:val="24"/>
              </w:rPr>
              <w:t>母婴友好服务（45分）</w:t>
            </w:r>
          </w:p>
        </w:tc>
        <w:tc>
          <w:tcPr>
            <w:tcW w:w="3210" w:type="dxa"/>
            <w:noWrap w:val="0"/>
            <w:vAlign w:val="center"/>
          </w:tcPr>
          <w:p>
            <w:pPr>
              <w:pStyle w:val="30"/>
              <w:widowControl w:val="0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（四）保障母婴安全，持续提升孕产妇和新生儿安全救治与应急保障能力（18分）</w:t>
            </w:r>
          </w:p>
        </w:tc>
        <w:tc>
          <w:tcPr>
            <w:tcW w:w="9190" w:type="dxa"/>
            <w:noWrap w:val="0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1.开展孕产妇妊娠风险筛查和评估，对孕产妇进行分级分类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服务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管理，严格实行高危孕产妇专案管理，根据病情需要及时转诊，高危孕产妇专案管理率达到1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00%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。（4分）</w:t>
            </w:r>
          </w:p>
          <w:p>
            <w:pPr>
              <w:snapToGrid w:val="0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2.高危妊娠分娩前有产儿科会诊并制定预案，新生儿科医生提前到场待产，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可预知的高危分娩现场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新生儿科医生到场率达到100%。（3分）</w:t>
            </w:r>
          </w:p>
          <w:p>
            <w:pPr>
              <w:snapToGrid w:val="0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.新生儿科医生参与母婴同室查房，及时发现新生儿异常并及早处理。（3分）</w:t>
            </w:r>
          </w:p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4.设有新生儿科（病室），对新生儿科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（病室）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出院的新生儿在出院后1周内开展随访，随访率达90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%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以上。（3分）</w:t>
            </w:r>
          </w:p>
          <w:p>
            <w:pPr>
              <w:snapToGrid w:val="0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5.提供早产儿保健服务。（3分）</w:t>
            </w:r>
          </w:p>
          <w:p>
            <w:pPr>
              <w:snapToGrid w:val="0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6.开展早产儿袋鼠式护理服务。（2分）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4" w:hRule="atLeast"/>
          <w:jc w:val="center"/>
        </w:trPr>
        <w:tc>
          <w:tcPr>
            <w:tcW w:w="1857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3210" w:type="dxa"/>
            <w:noWrap w:val="0"/>
            <w:vAlign w:val="center"/>
          </w:tcPr>
          <w:p>
            <w:pPr>
              <w:pStyle w:val="30"/>
              <w:widowControl w:val="0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（五）提供关爱服务，推行自然分娩、镇痛分娩、陪伴分娩等服务举措（13分）</w:t>
            </w:r>
          </w:p>
          <w:p>
            <w:pPr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190" w:type="dxa"/>
            <w:noWrap w:val="0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1.有降低非医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学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指征剖宫产率措施，初产剖宫产率低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于全市平均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水平。（3分）</w:t>
            </w:r>
          </w:p>
          <w:p>
            <w:pPr>
              <w:snapToGrid w:val="0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2.有降低阴道分娩并发症主要措施，产后出血发生率低于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全市平均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水平。（3分）</w:t>
            </w:r>
          </w:p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3.自然分娩过程中，减少不必要医疗干预。禁止会阴部备皮、灌肠、肛查和无指征引产，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严格会阴切开指征，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会阴切开率≤30%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。（3分）</w:t>
            </w:r>
          </w:p>
          <w:p>
            <w:pPr>
              <w:snapToGrid w:val="0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4.提供药物和非药物方法缓解分娩疼痛，分娩镇痛服务率在50%以上。鼓励开展家属陪伴分娩。（4分）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5" w:hRule="atLeast"/>
          <w:jc w:val="center"/>
        </w:trPr>
        <w:tc>
          <w:tcPr>
            <w:tcW w:w="1857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3210" w:type="dxa"/>
            <w:noWrap w:val="0"/>
            <w:vAlign w:val="center"/>
          </w:tcPr>
          <w:p>
            <w:pPr>
              <w:pStyle w:val="30"/>
              <w:widowControl w:val="0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（六）促进母乳喂养，鼓励按需哺乳，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/>
              </w:rPr>
              <w:t>支持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患病新生儿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/>
              </w:rPr>
              <w:t>实现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母乳喂养（14分）</w:t>
            </w:r>
          </w:p>
          <w:p>
            <w:pPr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19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1.产、儿科医护人员掌握母乳喂养知识和技能，能够正确指导和帮助产妇成功母乳喂养：</w:t>
            </w: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（1）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鼓励开展新生儿早期基本保健，包括出生后立刻擦干，持续不间断的皮肤接触并帮助母婴尽快开始母乳喂养，延迟断脐、眼部护理、肌注维生素K1等。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新生儿早开奶率达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90%以上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；（2分）</w:t>
            </w: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（2）指导母亲识别和回应婴儿需要喂养迹象，做到按需哺乳；（1分）</w:t>
            </w: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（3）指导母亲挤奶方法以及简单处理喂哺过程中常见问题，减少涨奶及乳头皲裂现象；（1分）</w:t>
            </w: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（4）正确掌握非母乳喂养指征，对人工喂养产妇进行指导和帮助，使用配方奶的新生儿应有医嘱及相关记录。（1分）</w:t>
            </w: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.母婴分离新生儿应有医学指征并在病历中记录，指导母婴分离母亲在产后1小时内开始手挤奶或吸奶器吸奶。（1分）</w:t>
            </w: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3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.新生儿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eastAsia="zh-CN"/>
              </w:rPr>
              <w:t>科（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病房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eastAsia="zh-CN"/>
              </w:rPr>
              <w:t>）具备母乳喂养和开展袋鼠式护理的支持环境、设施设备；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鼓励新生儿科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eastAsia="zh-CN"/>
              </w:rPr>
              <w:t>开设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母婴同室病房，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eastAsia="zh-CN"/>
              </w:rPr>
              <w:t>创造母亲直接哺喂条件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。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（2分）</w:t>
            </w: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4.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开设母乳喂养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咨询门诊，提供母乳喂养咨询服务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。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（2分）</w:t>
            </w:r>
          </w:p>
          <w:p>
            <w:pPr>
              <w:snapToGrid w:val="0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5.设置母乳喂养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咨询热线电话或提供线上咨询等服务，提供母乳喂养咨询指导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。（1分）</w:t>
            </w:r>
          </w:p>
          <w:p>
            <w:pPr>
              <w:snapToGrid w:val="0"/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6.在院新生儿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纯母乳喂养率达80%以上。（3分）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57" w:type="dxa"/>
            <w:vMerge w:val="restart"/>
            <w:noWrap w:val="0"/>
            <w:vAlign w:val="center"/>
          </w:tcPr>
          <w:p>
            <w:pPr>
              <w:pStyle w:val="30"/>
              <w:widowControl w:val="0"/>
              <w:ind w:firstLine="0" w:firstLineChars="0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4"/>
              </w:rPr>
              <w:t>三、母婴友好文化（20分）</w:t>
            </w:r>
          </w:p>
        </w:tc>
        <w:tc>
          <w:tcPr>
            <w:tcW w:w="3210" w:type="dxa"/>
            <w:noWrap w:val="0"/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（七）构建友好文化，通过孕妇学校等多种方式，开展促进自然分娩和母乳喂养等关爱母婴健康教育（5分）</w:t>
            </w:r>
          </w:p>
        </w:tc>
        <w:tc>
          <w:tcPr>
            <w:tcW w:w="919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1.开展多种形式孕期健康教育，孕妇学校、入院前健康宣教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、住院期间健康教育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出院指导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等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涵盖母乳喂养内容，每名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孕妇均接受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母乳喂养宣教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。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（2分）</w:t>
            </w: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FF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2.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本院孕产妇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6月内纯母乳喂养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和2岁以上母乳喂养知识知晓率大于90%。（3分）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57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3210" w:type="dxa"/>
            <w:noWrap w:val="0"/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（八）尊重隐私保护，满足孕产妇隐私保护需求，通过满意度评价等促进服务提升（8分）</w:t>
            </w:r>
          </w:p>
        </w:tc>
        <w:tc>
          <w:tcPr>
            <w:tcW w:w="9190" w:type="dxa"/>
            <w:noWrap w:val="0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1.多人间病房配有窗帘和隔离帘，提供相对独立空间。（2分）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2.营造舒适温馨的产房环境，设有单间产房，保护产妇隐私。（2分）</w:t>
            </w:r>
          </w:p>
          <w:p>
            <w:pPr>
              <w:snapToGrid w:val="0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3.定期开展门诊、住院服务对象满意度评价，满意度均达到90%以上。（4分）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57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3210" w:type="dxa"/>
            <w:noWrap w:val="0"/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（九）优化服务模式，利用互联网等信息化手段，促进医疗保健服务便捷高效（7分）</w:t>
            </w:r>
          </w:p>
        </w:tc>
        <w:tc>
          <w:tcPr>
            <w:tcW w:w="919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利用互联网信息化手段，为孕产妇提供预约诊疗、候诊提醒、检查检验结果查询、缴费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、线上出入院办理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等服务，减少就诊者排队次数和等候时间。（3分）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2.提供线上孕产期保健和咨询指导，方便孕产妇获得便捷化专业医疗保健服务。（2分）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3.对严重高危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产妇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在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出院3天内至少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开展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1次随访，提供出院后关键期的延续支持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，随访率达1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00%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。（2分）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2" w:hRule="atLeast"/>
          <w:jc w:val="center"/>
        </w:trPr>
        <w:tc>
          <w:tcPr>
            <w:tcW w:w="1857" w:type="dxa"/>
            <w:vMerge w:val="restart"/>
            <w:noWrap w:val="0"/>
            <w:vAlign w:val="center"/>
          </w:tcPr>
          <w:p>
            <w:pPr>
              <w:pStyle w:val="30"/>
              <w:widowControl w:val="0"/>
              <w:ind w:firstLine="0" w:firstLineChars="0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四、母婴友好环境（15分）</w:t>
            </w:r>
          </w:p>
        </w:tc>
        <w:tc>
          <w:tcPr>
            <w:tcW w:w="3210" w:type="dxa"/>
            <w:noWrap w:val="0"/>
            <w:vAlign w:val="center"/>
          </w:tcPr>
          <w:p>
            <w:pPr>
              <w:pStyle w:val="30"/>
              <w:widowControl w:val="0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（十）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空间布局合理，实现“一站式”服务, 提供便民咨询导诊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（5分）</w:t>
            </w:r>
          </w:p>
        </w:tc>
        <w:tc>
          <w:tcPr>
            <w:tcW w:w="9190" w:type="dxa"/>
            <w:noWrap w:val="0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1.优化产科诊室布局和服务流程，就诊区域与抽血室、胎心监护、心电图、超声等常用辅助检查科室及缴费窗口/一体机等在同一诊区或同一楼层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提供“一站式”服务。（3分）</w:t>
            </w:r>
          </w:p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2.设有一站式服务中心，提供便民咨询导诊，各类辅助检查可实现一站式预约。（2分）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57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210" w:type="dxa"/>
            <w:noWrap w:val="0"/>
            <w:vAlign w:val="center"/>
          </w:tcPr>
          <w:p>
            <w:pPr>
              <w:pStyle w:val="30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（十一）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环境舒适温馨，标识清晰明确，符合妇女儿童活动特点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（5分）</w:t>
            </w:r>
          </w:p>
        </w:tc>
        <w:tc>
          <w:tcPr>
            <w:tcW w:w="919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设有符合妇女儿童特点的导引标识，内容清晰明确。（1分）</w:t>
            </w:r>
          </w:p>
          <w:p>
            <w:pPr>
              <w:snapToGrid w:val="0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2.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候诊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大厅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不拥挤，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有孕产妇和儿童等特殊人群座椅区域。（2分）</w:t>
            </w:r>
          </w:p>
          <w:p>
            <w:pPr>
              <w:snapToGrid w:val="0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3.病房设有医院管理和健康教育等宣教内容，帮助孕产妇和儿童家庭了解住院注意事项、出入院办理流程等，提供方便可及的健康教育信息。（2分）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57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210" w:type="dxa"/>
            <w:noWrap w:val="0"/>
            <w:vAlign w:val="center"/>
          </w:tcPr>
          <w:p>
            <w:pPr>
              <w:pStyle w:val="30"/>
              <w:widowControl w:val="0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（十二）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关注群众需求，提供适合妇女儿童需求的设施设备,提高舒适感受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（5分）</w:t>
            </w:r>
          </w:p>
        </w:tc>
        <w:tc>
          <w:tcPr>
            <w:tcW w:w="919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1.在门诊设有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哺乳室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，标识明显，室内配有电源，洗手池，座椅、婴儿换衣桌（台）等。（2分）</w:t>
            </w: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2.设有儿童卫生间、家庭卫生间、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无障碍设施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等，结合孕产妇和儿童特点提供便利服务。（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分）</w:t>
            </w: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3.提供符合孕产妇和婴幼儿需求的个性化就餐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等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服务。（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分）</w:t>
            </w:r>
          </w:p>
        </w:tc>
      </w:tr>
    </w:tbl>
    <w:p>
      <w:pPr>
        <w:pStyle w:val="30"/>
        <w:spacing w:line="540" w:lineRule="exact"/>
        <w:ind w:firstLine="0" w:firstLineChars="0"/>
        <w:rPr>
          <w:rFonts w:hint="eastAsia" w:ascii="黑体" w:hAnsi="黑体" w:eastAsia="黑体" w:cs="黑体"/>
          <w:kern w:val="2"/>
          <w:sz w:val="32"/>
          <w:szCs w:val="32"/>
        </w:rPr>
        <w:sectPr>
          <w:headerReference r:id="rId3" w:type="default"/>
          <w:footerReference r:id="rId4" w:type="default"/>
          <w:pgSz w:w="16838" w:h="11906" w:orient="landscape"/>
          <w:pgMar w:top="1587" w:right="1417" w:bottom="1474" w:left="1417" w:header="851" w:footer="1531" w:gutter="0"/>
          <w:pgNumType w:fmt="numberInDash"/>
          <w:cols w:space="720" w:num="1"/>
          <w:rtlGutter w:val="0"/>
          <w:docGrid w:type="lines" w:linePitch="315" w:charSpace="0"/>
        </w:sectPr>
      </w:pPr>
    </w:p>
    <w:p>
      <w:pPr>
        <w:pStyle w:val="30"/>
        <w:spacing w:line="540" w:lineRule="exact"/>
        <w:ind w:firstLine="0" w:firstLineChars="0"/>
        <w:rPr>
          <w:rFonts w:hint="eastAsia" w:hAnsi="宋体" w:eastAsia="宋体"/>
          <w:sz w:val="32"/>
          <w:szCs w:val="32"/>
        </w:rPr>
      </w:pPr>
      <w:r>
        <w:rPr>
          <w:rFonts w:hint="eastAsia" w:ascii="黑体" w:hAnsi="黑体" w:eastAsia="黑体" w:cs="黑体"/>
          <w:kern w:val="2"/>
          <w:sz w:val="32"/>
          <w:szCs w:val="32"/>
        </w:rPr>
        <w:t>附件2</w:t>
      </w:r>
    </w:p>
    <w:p>
      <w:pPr>
        <w:spacing w:line="540" w:lineRule="exact"/>
        <w:jc w:val="center"/>
        <w:rPr>
          <w:rFonts w:ascii="仿宋_GB2312" w:hAnsi="宋体" w:eastAsia="仿宋_GB2312"/>
          <w:sz w:val="32"/>
          <w:szCs w:val="32"/>
        </w:rPr>
      </w:pPr>
      <w:r>
        <w:rPr>
          <w:rFonts w:hint="eastAsia" w:ascii="方正小标宋简体" w:hAnsi="宋体" w:eastAsia="方正小标宋简体" w:cs="黑体"/>
          <w:sz w:val="44"/>
          <w:szCs w:val="44"/>
        </w:rPr>
        <w:t>北京市母婴友好医院申请表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7"/>
        <w:gridCol w:w="2579"/>
        <w:gridCol w:w="1464"/>
        <w:gridCol w:w="29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机构名称</w:t>
            </w:r>
          </w:p>
        </w:tc>
        <w:tc>
          <w:tcPr>
            <w:tcW w:w="70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联系人姓名</w:t>
            </w:r>
          </w:p>
        </w:tc>
        <w:tc>
          <w:tcPr>
            <w:tcW w:w="2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2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自评得分</w:t>
            </w:r>
          </w:p>
        </w:tc>
        <w:tc>
          <w:tcPr>
            <w:tcW w:w="70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3" w:hRule="atLeast"/>
          <w:jc w:val="center"/>
        </w:trPr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主要工作亮点及存在不足</w:t>
            </w:r>
          </w:p>
        </w:tc>
        <w:tc>
          <w:tcPr>
            <w:tcW w:w="70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7" w:hRule="atLeast"/>
          <w:jc w:val="center"/>
        </w:trPr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单位意见</w:t>
            </w:r>
          </w:p>
        </w:tc>
        <w:tc>
          <w:tcPr>
            <w:tcW w:w="70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5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5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5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5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540" w:lineRule="exact"/>
              <w:ind w:firstLine="1960" w:firstLineChars="70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（盖章）</w:t>
            </w:r>
          </w:p>
          <w:p>
            <w:pPr>
              <w:spacing w:line="540" w:lineRule="exact"/>
              <w:ind w:firstLine="1960" w:firstLineChars="70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年   月   日</w:t>
            </w:r>
          </w:p>
        </w:tc>
      </w:tr>
    </w:tbl>
    <w:p>
      <w:pPr>
        <w:ind w:right="6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ind w:right="60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北京市母婴友好医院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推荐表</w:t>
      </w:r>
    </w:p>
    <w:p>
      <w:pPr>
        <w:ind w:right="600"/>
        <w:jc w:val="left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区名：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2265"/>
        <w:gridCol w:w="2264"/>
        <w:gridCol w:w="22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2265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机构名称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区级评分</w:t>
            </w:r>
          </w:p>
        </w:tc>
        <w:tc>
          <w:tcPr>
            <w:tcW w:w="2264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联系人</w:t>
            </w:r>
          </w:p>
        </w:tc>
        <w:tc>
          <w:tcPr>
            <w:tcW w:w="2266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2265" w:type="dxa"/>
            <w:noWrap w:val="0"/>
            <w:vAlign w:val="top"/>
          </w:tcPr>
          <w:p>
            <w:pPr>
              <w:ind w:right="600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65" w:type="dxa"/>
            <w:noWrap w:val="0"/>
            <w:vAlign w:val="top"/>
          </w:tcPr>
          <w:p>
            <w:pPr>
              <w:ind w:right="600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64" w:type="dxa"/>
            <w:noWrap w:val="0"/>
            <w:vAlign w:val="top"/>
          </w:tcPr>
          <w:p>
            <w:pPr>
              <w:ind w:right="600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66" w:type="dxa"/>
            <w:noWrap w:val="0"/>
            <w:vAlign w:val="top"/>
          </w:tcPr>
          <w:p>
            <w:pPr>
              <w:ind w:right="600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2265" w:type="dxa"/>
            <w:noWrap w:val="0"/>
            <w:vAlign w:val="top"/>
          </w:tcPr>
          <w:p>
            <w:pPr>
              <w:ind w:right="600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65" w:type="dxa"/>
            <w:noWrap w:val="0"/>
            <w:vAlign w:val="top"/>
          </w:tcPr>
          <w:p>
            <w:pPr>
              <w:ind w:right="600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64" w:type="dxa"/>
            <w:noWrap w:val="0"/>
            <w:vAlign w:val="top"/>
          </w:tcPr>
          <w:p>
            <w:pPr>
              <w:ind w:right="600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66" w:type="dxa"/>
            <w:noWrap w:val="0"/>
            <w:vAlign w:val="top"/>
          </w:tcPr>
          <w:p>
            <w:pPr>
              <w:ind w:right="600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2265" w:type="dxa"/>
            <w:noWrap w:val="0"/>
            <w:vAlign w:val="top"/>
          </w:tcPr>
          <w:p>
            <w:pPr>
              <w:ind w:right="600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65" w:type="dxa"/>
            <w:noWrap w:val="0"/>
            <w:vAlign w:val="top"/>
          </w:tcPr>
          <w:p>
            <w:pPr>
              <w:ind w:right="600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64" w:type="dxa"/>
            <w:noWrap w:val="0"/>
            <w:vAlign w:val="top"/>
          </w:tcPr>
          <w:p>
            <w:pPr>
              <w:ind w:right="600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66" w:type="dxa"/>
            <w:noWrap w:val="0"/>
            <w:vAlign w:val="top"/>
          </w:tcPr>
          <w:p>
            <w:pPr>
              <w:ind w:right="600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2265" w:type="dxa"/>
            <w:noWrap w:val="0"/>
            <w:vAlign w:val="top"/>
          </w:tcPr>
          <w:p>
            <w:pPr>
              <w:ind w:right="600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65" w:type="dxa"/>
            <w:noWrap w:val="0"/>
            <w:vAlign w:val="top"/>
          </w:tcPr>
          <w:p>
            <w:pPr>
              <w:ind w:right="600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64" w:type="dxa"/>
            <w:noWrap w:val="0"/>
            <w:vAlign w:val="top"/>
          </w:tcPr>
          <w:p>
            <w:pPr>
              <w:ind w:right="600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66" w:type="dxa"/>
            <w:noWrap w:val="0"/>
            <w:vAlign w:val="top"/>
          </w:tcPr>
          <w:p>
            <w:pPr>
              <w:ind w:right="600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2265" w:type="dxa"/>
            <w:noWrap w:val="0"/>
            <w:vAlign w:val="top"/>
          </w:tcPr>
          <w:p>
            <w:pPr>
              <w:ind w:right="600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65" w:type="dxa"/>
            <w:noWrap w:val="0"/>
            <w:vAlign w:val="top"/>
          </w:tcPr>
          <w:p>
            <w:pPr>
              <w:ind w:right="600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64" w:type="dxa"/>
            <w:noWrap w:val="0"/>
            <w:vAlign w:val="top"/>
          </w:tcPr>
          <w:p>
            <w:pPr>
              <w:ind w:right="600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66" w:type="dxa"/>
            <w:noWrap w:val="0"/>
            <w:vAlign w:val="top"/>
          </w:tcPr>
          <w:p>
            <w:pPr>
              <w:ind w:right="600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2265" w:type="dxa"/>
            <w:noWrap w:val="0"/>
            <w:vAlign w:val="top"/>
          </w:tcPr>
          <w:p>
            <w:pPr>
              <w:ind w:right="600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65" w:type="dxa"/>
            <w:noWrap w:val="0"/>
            <w:vAlign w:val="top"/>
          </w:tcPr>
          <w:p>
            <w:pPr>
              <w:ind w:right="600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64" w:type="dxa"/>
            <w:noWrap w:val="0"/>
            <w:vAlign w:val="top"/>
          </w:tcPr>
          <w:p>
            <w:pPr>
              <w:ind w:right="600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66" w:type="dxa"/>
            <w:noWrap w:val="0"/>
            <w:vAlign w:val="top"/>
          </w:tcPr>
          <w:p>
            <w:pPr>
              <w:ind w:right="600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2265" w:type="dxa"/>
            <w:noWrap w:val="0"/>
            <w:vAlign w:val="top"/>
          </w:tcPr>
          <w:p>
            <w:pPr>
              <w:ind w:right="600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65" w:type="dxa"/>
            <w:noWrap w:val="0"/>
            <w:vAlign w:val="top"/>
          </w:tcPr>
          <w:p>
            <w:pPr>
              <w:ind w:right="600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64" w:type="dxa"/>
            <w:noWrap w:val="0"/>
            <w:vAlign w:val="top"/>
          </w:tcPr>
          <w:p>
            <w:pPr>
              <w:ind w:right="600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66" w:type="dxa"/>
            <w:noWrap w:val="0"/>
            <w:vAlign w:val="top"/>
          </w:tcPr>
          <w:p>
            <w:pPr>
              <w:ind w:right="600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ind w:right="6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ordWrap/>
        <w:snapToGrid w:val="0"/>
        <w:spacing w:line="360" w:lineRule="auto"/>
        <w:ind w:right="0"/>
        <w:jc w:val="both"/>
        <w:textAlignment w:val="auto"/>
        <w:rPr>
          <w:rStyle w:val="19"/>
          <w:rFonts w:ascii="仿宋_GB2312" w:hAnsi="仿宋_GB2312" w:eastAsia="仿宋_GB2312"/>
          <w:kern w:val="2"/>
          <w:sz w:val="32"/>
          <w:szCs w:val="32"/>
          <w:lang w:val="en-US" w:eastAsia="zh-CN"/>
        </w:rPr>
      </w:pPr>
    </w:p>
    <w:sectPr>
      <w:headerReference r:id="rId5" w:type="default"/>
      <w:footerReference r:id="rId6" w:type="default"/>
      <w:pgSz w:w="11906" w:h="16838"/>
      <w:pgMar w:top="1134" w:right="1587" w:bottom="850" w:left="1587" w:header="851" w:footer="992" w:gutter="0"/>
      <w:lnNumType w:countBy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ZSSJW--GB1-0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6"/>
      <w:rPr>
        <w:rStyle w:val="13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13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13"/>
        <w:sz w:val="28"/>
        <w:szCs w:val="28"/>
      </w:rPr>
      <w:t>- 1 -</w:t>
    </w:r>
    <w:r>
      <w:rPr>
        <w:rFonts w:ascii="宋体" w:hAnsi="宋体"/>
        <w:sz w:val="28"/>
        <w:szCs w:val="28"/>
      </w:rPr>
      <w:fldChar w:fldCharType="end"/>
    </w:r>
  </w:p>
  <w:p>
    <w:pPr>
      <w:pStyle w:val="6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widowControl/>
      <w:snapToGrid w:val="0"/>
      <w:jc w:val="left"/>
      <w:textAlignment w:val="baseline"/>
      <w:rPr>
        <w:rStyle w:val="19"/>
        <w:rFonts w:eastAsia="宋体"/>
        <w:kern w:val="2"/>
        <w:sz w:val="18"/>
        <w:lang w:val="en-US" w:eastAsia="zh-CN"/>
      </w:rPr>
    </w:pPr>
    <w:r>
      <w:rPr>
        <w:rFonts w:ascii="Times New Roman" w:hAnsi="Times New Roman" w:eastAsia="宋体" w:cs="Times New Roman"/>
        <w:kern w:val="2"/>
        <w:sz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top:0pt;height:144pt;width:144pt;mso-position-horizontal:center;mso-position-horizontal-relative:margin;z-index:251659264;mso-width-relative:page;mso-height-relative:page;" filled="f" stroked="f" coordsize="21600,21600" o:gfxdata="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">
              <v:fill on="f" focussize="0,0"/>
              <v:stroke on="f"/>
              <v:imagedata o:title=""/>
              <o:lock v:ext="edit" aspectratio="f"/>
              <v:textbox inset="0mm,0mm,0mm,0mm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widowControl/>
      <w:pBdr>
        <w:bottom w:val="none" w:color="000000" w:sz="0" w:space="1"/>
      </w:pBdr>
      <w:snapToGrid w:val="0"/>
      <w:jc w:val="center"/>
      <w:textAlignment w:val="baseline"/>
      <w:rPr>
        <w:rStyle w:val="19"/>
        <w:rFonts w:eastAsia="宋体"/>
        <w:kern w:val="2"/>
        <w:sz w:val="18"/>
        <w:szCs w:val="18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9"/>
  <w:bordersDoNotSurroundHeader w:val="0"/>
  <w:bordersDoNotSurroundFooter w:val="0"/>
  <w:documentProtection w:enforcement="0"/>
  <w:defaultTabStop w:val="420"/>
  <w:displayHorizontalDrawingGridEvery w:val="1"/>
  <w:displayVerticalDrawingGridEvery w:val="1"/>
  <w:doNotUseMarginsForDrawingGridOrigin w:val="1"/>
  <w:drawingGridHorizontalOrigin w:val="0"/>
  <w:drawingGridVerticalOrigin w:val="0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885D6D"/>
    <w:rsid w:val="01FB23CB"/>
    <w:rsid w:val="024050BE"/>
    <w:rsid w:val="02F46A8C"/>
    <w:rsid w:val="032853BC"/>
    <w:rsid w:val="03AD58FB"/>
    <w:rsid w:val="04ED3A23"/>
    <w:rsid w:val="055830D2"/>
    <w:rsid w:val="05C74A0B"/>
    <w:rsid w:val="06883CF1"/>
    <w:rsid w:val="06B1240A"/>
    <w:rsid w:val="07EA7B88"/>
    <w:rsid w:val="08A27337"/>
    <w:rsid w:val="08B767EE"/>
    <w:rsid w:val="09591064"/>
    <w:rsid w:val="098E3ABC"/>
    <w:rsid w:val="0A355393"/>
    <w:rsid w:val="0A5C540E"/>
    <w:rsid w:val="0A814349"/>
    <w:rsid w:val="0AAF3B94"/>
    <w:rsid w:val="0AF21185"/>
    <w:rsid w:val="0B6A65D5"/>
    <w:rsid w:val="0B914186"/>
    <w:rsid w:val="0BC02AD7"/>
    <w:rsid w:val="0C8D69A8"/>
    <w:rsid w:val="0CF86057"/>
    <w:rsid w:val="0D215B97"/>
    <w:rsid w:val="0D6F44F3"/>
    <w:rsid w:val="0E095BC0"/>
    <w:rsid w:val="0EA8251A"/>
    <w:rsid w:val="0F665DD1"/>
    <w:rsid w:val="0FE2319C"/>
    <w:rsid w:val="100A68DF"/>
    <w:rsid w:val="115320F9"/>
    <w:rsid w:val="11AD4D91"/>
    <w:rsid w:val="11E938F1"/>
    <w:rsid w:val="12072EA1"/>
    <w:rsid w:val="12ED571D"/>
    <w:rsid w:val="134F66BB"/>
    <w:rsid w:val="13515442"/>
    <w:rsid w:val="136E36ED"/>
    <w:rsid w:val="13DD17A2"/>
    <w:rsid w:val="14E75FF9"/>
    <w:rsid w:val="155E641B"/>
    <w:rsid w:val="15863D5C"/>
    <w:rsid w:val="15AF07A4"/>
    <w:rsid w:val="15CA5AB8"/>
    <w:rsid w:val="16383B80"/>
    <w:rsid w:val="16841A81"/>
    <w:rsid w:val="16C16063"/>
    <w:rsid w:val="17D548A6"/>
    <w:rsid w:val="18B22F8F"/>
    <w:rsid w:val="1905081B"/>
    <w:rsid w:val="19756550"/>
    <w:rsid w:val="197874D5"/>
    <w:rsid w:val="19A603A4"/>
    <w:rsid w:val="1A3C6319"/>
    <w:rsid w:val="1C2077B4"/>
    <w:rsid w:val="1C2516BD"/>
    <w:rsid w:val="1C986179"/>
    <w:rsid w:val="1D1824CB"/>
    <w:rsid w:val="1D1D19A7"/>
    <w:rsid w:val="1D6677F6"/>
    <w:rsid w:val="1D671CC9"/>
    <w:rsid w:val="1E0028DE"/>
    <w:rsid w:val="1E6C1577"/>
    <w:rsid w:val="1E7A4110"/>
    <w:rsid w:val="1FAE5406"/>
    <w:rsid w:val="1FD552C6"/>
    <w:rsid w:val="208650E9"/>
    <w:rsid w:val="20D564EE"/>
    <w:rsid w:val="234E7E7B"/>
    <w:rsid w:val="23A27905"/>
    <w:rsid w:val="246F37D6"/>
    <w:rsid w:val="24C14060"/>
    <w:rsid w:val="25A03B48"/>
    <w:rsid w:val="25AE08DF"/>
    <w:rsid w:val="25B4606C"/>
    <w:rsid w:val="26461D57"/>
    <w:rsid w:val="267F45F3"/>
    <w:rsid w:val="26D07ABD"/>
    <w:rsid w:val="274C4E88"/>
    <w:rsid w:val="2775024B"/>
    <w:rsid w:val="28136E4F"/>
    <w:rsid w:val="29105A6E"/>
    <w:rsid w:val="297D4D9D"/>
    <w:rsid w:val="298A1EB4"/>
    <w:rsid w:val="2A2F0444"/>
    <w:rsid w:val="2A377A4E"/>
    <w:rsid w:val="2AFD3F94"/>
    <w:rsid w:val="2B48310F"/>
    <w:rsid w:val="2BC24FD7"/>
    <w:rsid w:val="2BDC5B80"/>
    <w:rsid w:val="2CF4444F"/>
    <w:rsid w:val="2D55796B"/>
    <w:rsid w:val="2E681DB2"/>
    <w:rsid w:val="2E915175"/>
    <w:rsid w:val="32136FB5"/>
    <w:rsid w:val="321A21C3"/>
    <w:rsid w:val="335969F6"/>
    <w:rsid w:val="3364345F"/>
    <w:rsid w:val="348D41C6"/>
    <w:rsid w:val="353820E0"/>
    <w:rsid w:val="354D2F7F"/>
    <w:rsid w:val="36D76309"/>
    <w:rsid w:val="36FB19C1"/>
    <w:rsid w:val="370C1C5B"/>
    <w:rsid w:val="374C04C6"/>
    <w:rsid w:val="37AF056B"/>
    <w:rsid w:val="37C56E8B"/>
    <w:rsid w:val="37F93E62"/>
    <w:rsid w:val="38463F61"/>
    <w:rsid w:val="38565BE1"/>
    <w:rsid w:val="38F143FA"/>
    <w:rsid w:val="39010E11"/>
    <w:rsid w:val="39674039"/>
    <w:rsid w:val="396D5F42"/>
    <w:rsid w:val="3B4450D2"/>
    <w:rsid w:val="3BB9138A"/>
    <w:rsid w:val="3BDF37C8"/>
    <w:rsid w:val="3C6472A5"/>
    <w:rsid w:val="3C774C40"/>
    <w:rsid w:val="3CF16B08"/>
    <w:rsid w:val="3DAC503D"/>
    <w:rsid w:val="3EF178D3"/>
    <w:rsid w:val="3F0377ED"/>
    <w:rsid w:val="3F2A54AE"/>
    <w:rsid w:val="4009291E"/>
    <w:rsid w:val="40325CE1"/>
    <w:rsid w:val="40B14240"/>
    <w:rsid w:val="41837C0C"/>
    <w:rsid w:val="42181587"/>
    <w:rsid w:val="421A5B81"/>
    <w:rsid w:val="44F53D30"/>
    <w:rsid w:val="451851EA"/>
    <w:rsid w:val="4677642B"/>
    <w:rsid w:val="46C9712E"/>
    <w:rsid w:val="46CF48BB"/>
    <w:rsid w:val="46D0453B"/>
    <w:rsid w:val="48583BDE"/>
    <w:rsid w:val="49316623"/>
    <w:rsid w:val="493B1131"/>
    <w:rsid w:val="4ACE7349"/>
    <w:rsid w:val="4B705C93"/>
    <w:rsid w:val="4B974814"/>
    <w:rsid w:val="4C193814"/>
    <w:rsid w:val="4C6870EB"/>
    <w:rsid w:val="4D405AC9"/>
    <w:rsid w:val="4D822E5D"/>
    <w:rsid w:val="4D9872B6"/>
    <w:rsid w:val="4E7F4257"/>
    <w:rsid w:val="4F373A05"/>
    <w:rsid w:val="4FE748B1"/>
    <w:rsid w:val="4FF550BD"/>
    <w:rsid w:val="50BA3B81"/>
    <w:rsid w:val="51E44568"/>
    <w:rsid w:val="52114133"/>
    <w:rsid w:val="55345F5A"/>
    <w:rsid w:val="5697231E"/>
    <w:rsid w:val="58835EC7"/>
    <w:rsid w:val="58D11568"/>
    <w:rsid w:val="58FB7589"/>
    <w:rsid w:val="59785C59"/>
    <w:rsid w:val="59A72C51"/>
    <w:rsid w:val="5A9A37B2"/>
    <w:rsid w:val="5CBE7C34"/>
    <w:rsid w:val="5D6416C7"/>
    <w:rsid w:val="5D810FF7"/>
    <w:rsid w:val="5D934795"/>
    <w:rsid w:val="5ED2769F"/>
    <w:rsid w:val="5EE6771B"/>
    <w:rsid w:val="608337E2"/>
    <w:rsid w:val="626E7E8B"/>
    <w:rsid w:val="62B44D7C"/>
    <w:rsid w:val="62C76BC0"/>
    <w:rsid w:val="64515AA2"/>
    <w:rsid w:val="645314D5"/>
    <w:rsid w:val="6489147F"/>
    <w:rsid w:val="65146E65"/>
    <w:rsid w:val="657E520F"/>
    <w:rsid w:val="65B14764"/>
    <w:rsid w:val="66564EF2"/>
    <w:rsid w:val="66570776"/>
    <w:rsid w:val="6665519D"/>
    <w:rsid w:val="6700318D"/>
    <w:rsid w:val="67371FE2"/>
    <w:rsid w:val="67880AE7"/>
    <w:rsid w:val="686007CB"/>
    <w:rsid w:val="692E469B"/>
    <w:rsid w:val="69EB3B55"/>
    <w:rsid w:val="6A6C75A6"/>
    <w:rsid w:val="6B22598A"/>
    <w:rsid w:val="6B6668C4"/>
    <w:rsid w:val="6B873576"/>
    <w:rsid w:val="6B9D5719"/>
    <w:rsid w:val="6D0475EA"/>
    <w:rsid w:val="6D7C272C"/>
    <w:rsid w:val="6D9510D7"/>
    <w:rsid w:val="6E0E551E"/>
    <w:rsid w:val="711D294E"/>
    <w:rsid w:val="724C3314"/>
    <w:rsid w:val="72683B4E"/>
    <w:rsid w:val="728B1AA1"/>
    <w:rsid w:val="72C26E04"/>
    <w:rsid w:val="72DA05FA"/>
    <w:rsid w:val="73C70602"/>
    <w:rsid w:val="73D5539A"/>
    <w:rsid w:val="742F6D2D"/>
    <w:rsid w:val="762A1FEB"/>
    <w:rsid w:val="7694749C"/>
    <w:rsid w:val="76CB1B74"/>
    <w:rsid w:val="782765AD"/>
    <w:rsid w:val="78622F0F"/>
    <w:rsid w:val="7A843E8E"/>
    <w:rsid w:val="7AC74BAC"/>
    <w:rsid w:val="7B2A7E9F"/>
    <w:rsid w:val="7BC635A1"/>
    <w:rsid w:val="7C9D7D81"/>
    <w:rsid w:val="7E46233B"/>
    <w:rsid w:val="7ECD2214"/>
    <w:rsid w:val="7F7B5300"/>
    <w:rsid w:val="7FDB01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99" w:name="heading 1"/>
    <w:lsdException w:qFormat="1" w:unhideWhenUsed="0" w:uiPriority="9" w:semiHidden="0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iPriority="99" w:name="Title"/>
    <w:lsdException w:uiPriority="99" w:name="Closing"/>
    <w:lsdException w:uiPriority="99" w:name="Signature"/>
    <w:lsdException w:qFormat="1" w:uiPriority="99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iPriority="99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2"/>
    <w:basedOn w:val="1"/>
    <w:next w:val="1"/>
    <w:qFormat/>
    <w:uiPriority w:val="9"/>
    <w:pPr>
      <w:spacing w:beforeAutospacing="1" w:afterAutospacing="1"/>
      <w:outlineLvl w:val="1"/>
    </w:pPr>
    <w:rPr>
      <w:rFonts w:hint="eastAsia" w:ascii="宋体" w:hAnsi="宋体" w:eastAsia="宋体"/>
      <w:b/>
      <w:kern w:val="0"/>
      <w:sz w:val="36"/>
      <w:szCs w:val="36"/>
    </w:rPr>
  </w:style>
  <w:style w:type="character" w:default="1" w:styleId="11">
    <w:name w:val="Default Paragraph Font"/>
    <w:link w:val="12"/>
    <w:unhideWhenUsed/>
    <w:qFormat/>
    <w:uiPriority w:val="99"/>
    <w:rPr>
      <w:rFonts w:ascii="宋体" w:hAnsi="宋体" w:cs="Courier New"/>
      <w:sz w:val="32"/>
      <w:szCs w:val="32"/>
    </w:rPr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unhideWhenUsed/>
    <w:qFormat/>
    <w:uiPriority w:val="99"/>
    <w:pPr>
      <w:ind w:firstLine="420" w:firstLineChars="200"/>
    </w:pPr>
    <w:rPr>
      <w:rFonts w:ascii="Calibri" w:hAnsi="Calibri" w:eastAsia="宋体" w:cs="Times New Roman"/>
      <w:kern w:val="0"/>
      <w:sz w:val="20"/>
      <w:lang w:val="en-US" w:eastAsia="zh-CN" w:bidi="ar-SA"/>
    </w:rPr>
  </w:style>
  <w:style w:type="paragraph" w:styleId="4">
    <w:name w:val="Date"/>
    <w:basedOn w:val="1"/>
    <w:next w:val="1"/>
    <w:qFormat/>
    <w:uiPriority w:val="0"/>
    <w:pPr>
      <w:ind w:left="100" w:leftChars="2500"/>
    </w:pPr>
    <w:rPr>
      <w:sz w:val="32"/>
    </w:rPr>
  </w:style>
  <w:style w:type="paragraph" w:styleId="5">
    <w:name w:val="Body Text Indent 2"/>
    <w:basedOn w:val="1"/>
    <w:qFormat/>
    <w:uiPriority w:val="99"/>
    <w:pPr>
      <w:tabs>
        <w:tab w:val="left" w:pos="2250"/>
      </w:tabs>
      <w:spacing w:before="100" w:beforeAutospacing="1" w:line="400" w:lineRule="exact"/>
      <w:ind w:firstLine="629"/>
    </w:pPr>
    <w:rPr>
      <w:sz w:val="32"/>
    </w:r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99"/>
    <w:pPr>
      <w:spacing w:beforeAutospacing="1" w:afterAutospacing="1"/>
    </w:pPr>
    <w:rPr>
      <w:kern w:val="0"/>
      <w:sz w:val="24"/>
    </w:rPr>
  </w:style>
  <w:style w:type="table" w:styleId="10">
    <w:name w:val="Table Grid"/>
    <w:basedOn w:val="9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 Char Char Char Char"/>
    <w:basedOn w:val="1"/>
    <w:link w:val="11"/>
    <w:qFormat/>
    <w:uiPriority w:val="0"/>
    <w:rPr>
      <w:rFonts w:ascii="宋体" w:hAnsi="宋体" w:cs="Courier New"/>
      <w:sz w:val="32"/>
      <w:szCs w:val="32"/>
    </w:rPr>
  </w:style>
  <w:style w:type="character" w:styleId="13">
    <w:name w:val="page number"/>
    <w:basedOn w:val="11"/>
    <w:unhideWhenUsed/>
    <w:qFormat/>
    <w:uiPriority w:val="99"/>
  </w:style>
  <w:style w:type="paragraph" w:customStyle="1" w:styleId="14">
    <w:name w:val="HtmlNormal"/>
    <w:basedOn w:val="1"/>
    <w:qFormat/>
    <w:uiPriority w:val="0"/>
    <w:pPr>
      <w:spacing w:before="100" w:beforeAutospacing="1" w:after="100" w:afterAutospacing="1"/>
      <w:ind w:left="0" w:right="0"/>
      <w:jc w:val="left"/>
      <w:textAlignment w:val="baseline"/>
    </w:pPr>
    <w:rPr>
      <w:rFonts w:eastAsia="宋体"/>
      <w:kern w:val="0"/>
      <w:sz w:val="24"/>
      <w:lang w:val="en-US" w:eastAsia="zh-CN" w:bidi="ar-SA"/>
    </w:rPr>
  </w:style>
  <w:style w:type="paragraph" w:customStyle="1" w:styleId="15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rFonts w:eastAsia="宋体"/>
      <w:kern w:val="2"/>
      <w:sz w:val="18"/>
      <w:szCs w:val="18"/>
      <w:lang w:val="en-US" w:eastAsia="zh-CN"/>
    </w:rPr>
  </w:style>
  <w:style w:type="paragraph" w:customStyle="1" w:styleId="1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rFonts w:eastAsia="宋体"/>
      <w:kern w:val="2"/>
      <w:sz w:val="18"/>
      <w:lang w:val="en-US" w:eastAsia="zh-CN"/>
    </w:rPr>
  </w:style>
  <w:style w:type="paragraph" w:customStyle="1" w:styleId="17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18">
    <w:name w:val="页眉1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9">
    <w:name w:val="NormalCharacter"/>
    <w:qFormat/>
    <w:uiPriority w:val="0"/>
  </w:style>
  <w:style w:type="table" w:customStyle="1" w:styleId="20">
    <w:name w:val="TableNormal"/>
    <w:qFormat/>
    <w:uiPriority w:val="0"/>
  </w:style>
  <w:style w:type="table" w:customStyle="1" w:styleId="21">
    <w:name w:val="TableGrid"/>
    <w:basedOn w:val="20"/>
    <w:qFormat/>
    <w:uiPriority w:val="0"/>
  </w:style>
  <w:style w:type="paragraph" w:customStyle="1" w:styleId="22">
    <w:name w:val="果正文"/>
    <w:basedOn w:val="1"/>
    <w:qFormat/>
    <w:uiPriority w:val="0"/>
    <w:pPr>
      <w:tabs>
        <w:tab w:val="left" w:pos="1800"/>
      </w:tabs>
      <w:ind w:firstLine="544" w:firstLineChars="200"/>
    </w:pPr>
    <w:rPr>
      <w:rFonts w:ascii="仿宋_GB2312" w:eastAsia="仿宋_GB2312"/>
      <w:spacing w:val="-4"/>
      <w:sz w:val="28"/>
      <w:szCs w:val="20"/>
    </w:rPr>
  </w:style>
  <w:style w:type="paragraph" w:customStyle="1" w:styleId="23">
    <w:name w:val="msolist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24">
    <w:name w:val="列出段落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character" w:customStyle="1" w:styleId="25">
    <w:name w:val="UserStyle_0"/>
    <w:link w:val="26"/>
    <w:qFormat/>
    <w:uiPriority w:val="0"/>
    <w:rPr>
      <w:rFonts w:ascii="Times New Roman" w:hAnsi="Times New Roman" w:eastAsia="宋体"/>
      <w:kern w:val="0"/>
      <w:sz w:val="20"/>
      <w:szCs w:val="20"/>
    </w:rPr>
  </w:style>
  <w:style w:type="paragraph" w:customStyle="1" w:styleId="26">
    <w:name w:val="UserStyle_1"/>
    <w:basedOn w:val="1"/>
    <w:link w:val="25"/>
    <w:qFormat/>
    <w:uiPriority w:val="0"/>
    <w:rPr>
      <w:rFonts w:ascii="Times New Roman" w:hAnsi="Times New Roman" w:eastAsia="宋体"/>
      <w:kern w:val="0"/>
      <w:sz w:val="20"/>
      <w:szCs w:val="20"/>
    </w:rPr>
  </w:style>
  <w:style w:type="character" w:customStyle="1" w:styleId="27">
    <w:name w:val="UserStyle_2"/>
    <w:link w:val="28"/>
    <w:qFormat/>
    <w:uiPriority w:val="0"/>
    <w:rPr>
      <w:rFonts w:ascii="Times New Roman" w:hAnsi="Times New Roman" w:eastAsia="宋体"/>
      <w:kern w:val="0"/>
      <w:sz w:val="20"/>
      <w:szCs w:val="20"/>
    </w:rPr>
  </w:style>
  <w:style w:type="paragraph" w:customStyle="1" w:styleId="28">
    <w:name w:val="UserStyle_3"/>
    <w:basedOn w:val="1"/>
    <w:link w:val="27"/>
    <w:qFormat/>
    <w:uiPriority w:val="0"/>
    <w:rPr>
      <w:rFonts w:ascii="Times New Roman" w:hAnsi="Times New Roman" w:eastAsia="宋体"/>
      <w:kern w:val="0"/>
      <w:sz w:val="20"/>
      <w:szCs w:val="20"/>
    </w:rPr>
  </w:style>
  <w:style w:type="paragraph" w:customStyle="1" w:styleId="29">
    <w:name w:val="内容"/>
    <w:basedOn w:val="1"/>
    <w:qFormat/>
    <w:uiPriority w:val="99"/>
    <w:pPr>
      <w:widowControl/>
      <w:autoSpaceDE w:val="0"/>
      <w:autoSpaceDN w:val="0"/>
      <w:adjustRightInd w:val="0"/>
      <w:spacing w:line="240" w:lineRule="atLeast"/>
      <w:ind w:firstLine="340"/>
      <w:textAlignment w:val="center"/>
    </w:pPr>
    <w:rPr>
      <w:rFonts w:ascii="FZSSJW--GB1-0" w:eastAsia="Times New Roman" w:cs="FZSSJW--GB1-0"/>
      <w:color w:val="000000"/>
      <w:kern w:val="0"/>
      <w:sz w:val="16"/>
      <w:szCs w:val="16"/>
      <w:lang w:val="zh-CN"/>
    </w:rPr>
  </w:style>
  <w:style w:type="paragraph" w:customStyle="1" w:styleId="30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Times New Roman" w:cs="Times New Roman"/>
      <w:sz w:val="21"/>
      <w:lang w:val="en-US" w:eastAsia="zh-CN" w:bidi="ar-SA"/>
    </w:rPr>
  </w:style>
  <w:style w:type="paragraph" w:customStyle="1" w:styleId="31">
    <w:name w:val=" Char"/>
    <w:basedOn w:val="1"/>
    <w:qFormat/>
    <w:uiPriority w:val="0"/>
    <w:rPr>
      <w:rFonts w:ascii="宋体" w:hAnsi="宋体" w:cs="Courier New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2020-04-15T02:57:00Z</dcterms:created>
  <dc:creator>wu'x's</dc:creator>
  <cp:lastModifiedBy>mongolian</cp:lastModifiedBy>
  <cp:lastPrinted>2021-03-11T08:32:00Z</cp:lastPrinted>
  <dcterms:modified xsi:type="dcterms:W3CDTF">2021-08-19T05:25:06Z</dcterms:modified>
  <dc:title>2020年北京市卫生健康委员会疾控处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2052-11.1.0.10650</vt:lpwstr>
  </property>
  <property fmtid="{D5CDD505-2E9C-101B-9397-08002B2CF9AE}" pid="3" name="ICV">
    <vt:lpwstr>B0F335D6D3FC4F15942D419C1E2AFCF3</vt:lpwstr>
  </property>
</Properties>
</file>