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附件4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  <w:t>湖南省中医优势病种门诊按病种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  <w:t>结算管理试点病种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</w:pPr>
    </w:p>
    <w:tbl>
      <w:tblPr>
        <w:tblStyle w:val="4"/>
        <w:tblW w:w="8841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324"/>
        <w:gridCol w:w="2327"/>
        <w:gridCol w:w="3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color w:val="auto"/>
                <w:kern w:val="0"/>
                <w:sz w:val="20"/>
                <w:szCs w:val="20"/>
              </w:rPr>
              <w:t>主诊断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color w:val="auto"/>
                <w:kern w:val="0"/>
                <w:sz w:val="20"/>
                <w:szCs w:val="20"/>
              </w:rPr>
              <w:t>主诊断编码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color w:val="auto"/>
                <w:kern w:val="0"/>
                <w:sz w:val="20"/>
                <w:szCs w:val="20"/>
              </w:rPr>
              <w:t>主要操作/治疗方式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盆腔炎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（盆腔炎性疾病后遗症）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BFZ001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（2020版A09.02.07.03）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中医辨证论治、中医外治法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面瘫病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（面神经炎）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BNV120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（2020版A07.01.01.04）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中医辨证论治、针灸、中医外治法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项痹病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（神经根型颈椎病）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BGS000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（2020版A03.06.04.05）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中医辨证论治、针灸、中医外治法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尪痹病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（类风湿关节炎）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BNV070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（2020版A07.06.03）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方正书宋简体" w:hAnsi="方正书宋简体" w:eastAsia="方正书宋简体" w:cs="方正书宋简体"/>
                <w:color w:val="auto"/>
                <w:kern w:val="0"/>
                <w:sz w:val="20"/>
                <w:szCs w:val="20"/>
              </w:rPr>
              <w:t>中医辨证论治、针灸、中医外治法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675B4"/>
    <w:rsid w:val="7446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customStyle="1" w:styleId="6">
    <w:name w:val="样式 文字 + 首行缩进:  2 字符3"/>
    <w:basedOn w:val="1"/>
    <w:qFormat/>
    <w:uiPriority w:val="99"/>
    <w:pPr>
      <w:spacing w:line="360" w:lineRule="auto"/>
      <w:jc w:val="left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2021-08-17T01:12:00Z</dcterms:created>
  <dc:creator>暖暖的奇迹</dc:creator>
  <cp:lastModifiedBy>暖暖的奇迹</cp:lastModifiedBy>
  <dcterms:modified xsi:type="dcterms:W3CDTF">2021-08-17T01:13:03Z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243377329_btnclosed</vt:lpwstr>
  </property>
</Properties>
</file>