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《宁夏回族自治区医疗机构</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药品使用质量管理规范</w:t>
      </w:r>
      <w:r>
        <w:rPr>
          <w:rFonts w:hint="eastAsia" w:ascii="宋体" w:hAnsi="宋体" w:eastAsia="宋体" w:cs="宋体"/>
          <w:b/>
          <w:bCs/>
          <w:sz w:val="44"/>
          <w:szCs w:val="44"/>
          <w:lang w:val="en-US" w:eastAsia="zh-CN"/>
        </w:rPr>
        <w:t>(试行)</w:t>
      </w:r>
      <w:r>
        <w:rPr>
          <w:rFonts w:hint="eastAsia" w:ascii="宋体" w:hAnsi="宋体" w:eastAsia="宋体" w:cs="宋体"/>
          <w:b/>
          <w:bCs/>
          <w:sz w:val="44"/>
          <w:szCs w:val="44"/>
          <w:lang w:eastAsia="zh-CN"/>
        </w:rPr>
        <w:t>》</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政策解读</w:t>
      </w:r>
    </w:p>
    <w:p>
      <w:pPr>
        <w:numPr>
          <w:ilvl w:val="0"/>
          <w:numId w:val="0"/>
        </w:numPr>
        <w:ind w:firstLine="640" w:firstLineChars="200"/>
        <w:rPr>
          <w:rFonts w:hint="eastAsia" w:ascii="黑体" w:hAnsi="黑体" w:eastAsia="黑体" w:cs="黑体"/>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一、起草背景和必要性</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eastAsia="zh-CN"/>
          <w14:textFill>
            <w14:solidFill>
              <w14:schemeClr w14:val="tx1"/>
            </w14:solidFill>
          </w14:textFill>
        </w:rPr>
        <w:t>根据《药品管理法》，国务院药品监督管理部门先后颁布，并在药品研制阶段实施《</w:t>
      </w:r>
      <w:r>
        <w:rPr>
          <w:rFonts w:hint="eastAsia" w:ascii="仿宋" w:hAnsi="仿宋" w:eastAsia="仿宋" w:cs="仿宋"/>
          <w:color w:val="000000" w:themeColor="text1"/>
          <w:sz w:val="32"/>
          <w:szCs w:val="32"/>
          <w:u w:val="none"/>
          <w:lang w:val="en-US" w:eastAsia="zh-CN"/>
          <w14:textFill>
            <w14:solidFill>
              <w14:schemeClr w14:val="tx1"/>
            </w14:solidFill>
          </w14:textFill>
        </w:rPr>
        <w:t>药品非临床研究质量管理规范</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药品临床试验质量管理规范》,在药品生产阶段实施《药品生产质量管理规范》,在药品经营阶段实施《药品经营质量管理规范》,为保证药品安全、有效发挥了重要作用，但在医疗机构药品使用这一关键环节没有质量管理规范。结合医疗机构药品使用质量管理工作实际，制定并实施医疗机构药品使用质量管理规范，对规范医疗机构药品使用行为、促进临床合理用药、保证药品质量是非常必要的。</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为进一步加强我区医疗机构药品</w:t>
      </w:r>
      <w:r>
        <w:rPr>
          <w:rFonts w:hint="eastAsia" w:ascii="仿宋" w:hAnsi="仿宋" w:eastAsia="仿宋" w:cs="仿宋"/>
          <w:b w:val="0"/>
          <w:bCs w:val="0"/>
          <w:color w:val="000000" w:themeColor="text1"/>
          <w:sz w:val="32"/>
          <w:szCs w:val="32"/>
          <w:u w:val="none"/>
          <w:lang w:eastAsia="zh-CN"/>
          <w14:textFill>
            <w14:solidFill>
              <w14:schemeClr w14:val="tx1"/>
            </w14:solidFill>
          </w14:textFill>
        </w:rPr>
        <w:t>使用</w:t>
      </w:r>
      <w:r>
        <w:rPr>
          <w:rFonts w:hint="eastAsia" w:ascii="仿宋" w:hAnsi="仿宋" w:eastAsia="仿宋" w:cs="仿宋"/>
          <w:b w:val="0"/>
          <w:bCs w:val="0"/>
          <w:sz w:val="32"/>
          <w:szCs w:val="32"/>
          <w:lang w:eastAsia="zh-CN"/>
        </w:rPr>
        <w:t>质量管理，自治区党委办公厅、人民政府办公厅印发的《宁夏回族自治区全域创建“食品药品安全区”实施方案》</w:t>
      </w:r>
      <w:r>
        <w:rPr>
          <w:rFonts w:hint="eastAsia" w:ascii="仿宋" w:hAnsi="仿宋" w:eastAsia="仿宋" w:cs="仿宋"/>
          <w:b w:val="0"/>
          <w:bCs w:val="0"/>
          <w:sz w:val="32"/>
          <w:szCs w:val="32"/>
          <w:lang w:val="en-US" w:eastAsia="zh-CN"/>
        </w:rPr>
        <w:t>(宁党厅字〔2020〕20号)重点任务中“完善食品药品安全治理体系”部分明确</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要求</w:t>
      </w:r>
      <w:r>
        <w:rPr>
          <w:rFonts w:hint="eastAsia" w:ascii="仿宋" w:hAnsi="仿宋" w:eastAsia="仿宋" w:cs="仿宋"/>
          <w:b w:val="0"/>
          <w:bCs w:val="0"/>
          <w:sz w:val="32"/>
          <w:szCs w:val="32"/>
          <w:lang w:val="en-US" w:eastAsia="zh-CN"/>
        </w:rPr>
        <w:t>制定医疗机构药品使用质量管理规范等法规规章。</w:t>
      </w:r>
      <w:r>
        <w:rPr>
          <w:rFonts w:hint="eastAsia" w:ascii="仿宋" w:hAnsi="仿宋" w:eastAsia="仿宋" w:cs="仿宋"/>
          <w:b w:val="0"/>
          <w:bCs w:val="0"/>
          <w:sz w:val="32"/>
          <w:szCs w:val="32"/>
          <w:lang w:eastAsia="zh-CN"/>
        </w:rPr>
        <w:t>自治区卫生健康委等</w:t>
      </w:r>
      <w:r>
        <w:rPr>
          <w:rFonts w:hint="eastAsia" w:ascii="仿宋" w:hAnsi="仿宋" w:eastAsia="仿宋" w:cs="仿宋"/>
          <w:b w:val="0"/>
          <w:bCs w:val="0"/>
          <w:sz w:val="32"/>
          <w:szCs w:val="32"/>
          <w:lang w:val="en-US" w:eastAsia="zh-CN"/>
        </w:rPr>
        <w:t>7部门联合印发的</w:t>
      </w:r>
      <w:r>
        <w:rPr>
          <w:rFonts w:hint="eastAsia" w:ascii="仿宋" w:hAnsi="仿宋" w:eastAsia="仿宋" w:cs="仿宋"/>
          <w:b w:val="0"/>
          <w:bCs w:val="0"/>
          <w:sz w:val="32"/>
          <w:szCs w:val="32"/>
          <w:lang w:eastAsia="zh-CN"/>
        </w:rPr>
        <w:t>《宁夏加强医疗机构药事管理</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促进合理用药的实施意见》</w:t>
      </w:r>
      <w:r>
        <w:rPr>
          <w:rFonts w:hint="eastAsia" w:ascii="仿宋" w:hAnsi="仿宋" w:eastAsia="仿宋" w:cs="仿宋"/>
          <w:b w:val="0"/>
          <w:bCs w:val="0"/>
          <w:sz w:val="32"/>
          <w:szCs w:val="32"/>
          <w:u w:val="none"/>
          <w:lang w:eastAsia="zh-CN"/>
        </w:rPr>
        <w:t>（宁卫发</w:t>
      </w:r>
      <w:r>
        <w:rPr>
          <w:rFonts w:hint="eastAsia" w:ascii="仿宋" w:hAnsi="仿宋" w:eastAsia="仿宋" w:cs="仿宋"/>
          <w:b w:val="0"/>
          <w:bCs w:val="0"/>
          <w:sz w:val="32"/>
          <w:szCs w:val="32"/>
          <w:u w:val="none"/>
          <w:lang w:val="en-US" w:eastAsia="zh-CN"/>
        </w:rPr>
        <w:t>〔2020〕160号</w:t>
      </w:r>
      <w:r>
        <w:rPr>
          <w:rFonts w:hint="eastAsia" w:ascii="仿宋" w:hAnsi="仿宋" w:eastAsia="仿宋" w:cs="仿宋"/>
          <w:b w:val="0"/>
          <w:bCs w:val="0"/>
          <w:sz w:val="32"/>
          <w:szCs w:val="32"/>
          <w:u w:val="none"/>
          <w:lang w:eastAsia="zh-CN"/>
        </w:rPr>
        <w:t>）</w:t>
      </w:r>
      <w:r>
        <w:rPr>
          <w:rFonts w:hint="eastAsia" w:ascii="仿宋" w:hAnsi="仿宋" w:eastAsia="仿宋" w:cs="仿宋"/>
          <w:b w:val="0"/>
          <w:bCs w:val="0"/>
          <w:sz w:val="32"/>
          <w:szCs w:val="32"/>
          <w:lang w:eastAsia="zh-CN"/>
        </w:rPr>
        <w:t>，也提出加强医疗机构药品安全管理，研究出台《</w:t>
      </w:r>
      <w:r>
        <w:rPr>
          <w:rFonts w:hint="eastAsia" w:ascii="仿宋" w:hAnsi="仿宋" w:eastAsia="仿宋" w:cs="仿宋"/>
          <w:sz w:val="32"/>
          <w:szCs w:val="32"/>
          <w:lang w:val="en-US" w:eastAsia="zh-CN"/>
        </w:rPr>
        <w:t>宁夏回族自治区医疗机构药品使用质量管理规范</w:t>
      </w:r>
      <w:r>
        <w:rPr>
          <w:rFonts w:hint="eastAsia" w:ascii="仿宋" w:hAnsi="仿宋" w:eastAsia="仿宋" w:cs="仿宋"/>
          <w:b w:val="0"/>
          <w:bCs w:val="0"/>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起草依据</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1.《中华人民共和国药品管理法》（中华人民共和国主席令第三十一号）</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2.《中华人民共和国疫苗管理法》（中华人民共和国主席令第三十号）</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3.《中华人民共和国基本医疗卫生与健康促进法》（中华人民共和国主席令第三十八号）</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4.《中华人民共和国药品管理法实施条例》）（中华人民共和国国务院令第666号）</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5.《医疗机构管理条例》（</w:t>
      </w:r>
      <w:r>
        <w:rPr>
          <w:rFonts w:hint="eastAsia" w:ascii="仿宋" w:hAnsi="仿宋" w:eastAsia="仿宋" w:cs="仿宋"/>
          <w:i w:val="0"/>
          <w:iCs w:val="0"/>
          <w:caps w:val="0"/>
          <w:color w:val="333333"/>
          <w:spacing w:val="0"/>
          <w:sz w:val="32"/>
          <w:szCs w:val="32"/>
          <w:shd w:val="clear" w:fill="FFFFFF"/>
        </w:rPr>
        <w:t>1994年2月26日国务院令第149号发布，2016年2月6日国务院令第666号修改施行</w:t>
      </w:r>
      <w:r>
        <w:rPr>
          <w:rFonts w:hint="eastAsia" w:ascii="仿宋" w:hAnsi="仿宋" w:eastAsia="仿宋" w:cs="仿宋"/>
          <w:b w:val="0"/>
          <w:bCs w:val="0"/>
          <w:sz w:val="32"/>
          <w:szCs w:val="32"/>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sz w:val="32"/>
          <w:szCs w:val="32"/>
          <w:lang w:val="en-US" w:eastAsia="zh-CN"/>
        </w:rPr>
        <w:t>6.《药品流通监督管理办法》（</w:t>
      </w:r>
      <w:r>
        <w:rPr>
          <w:rFonts w:hint="eastAsia" w:ascii="仿宋" w:hAnsi="仿宋" w:eastAsia="仿宋" w:cs="仿宋"/>
          <w:b w:val="0"/>
          <w:bCs w:val="0"/>
          <w:i w:val="0"/>
          <w:iCs w:val="0"/>
          <w:caps w:val="0"/>
          <w:color w:val="333333"/>
          <w:spacing w:val="0"/>
          <w:sz w:val="32"/>
          <w:szCs w:val="32"/>
          <w:shd w:val="clear" w:fill="FFFFFF"/>
        </w:rPr>
        <w:t>国家食品药品监督管理局令第 </w:t>
      </w:r>
      <w:r>
        <w:rPr>
          <w:rStyle w:val="5"/>
          <w:rFonts w:hint="eastAsia" w:ascii="仿宋" w:hAnsi="仿宋" w:eastAsia="仿宋" w:cs="仿宋"/>
          <w:b w:val="0"/>
          <w:bCs w:val="0"/>
          <w:i w:val="0"/>
          <w:iCs w:val="0"/>
          <w:caps w:val="0"/>
          <w:color w:val="333333"/>
          <w:spacing w:val="0"/>
          <w:sz w:val="32"/>
          <w:szCs w:val="32"/>
          <w:shd w:val="clear" w:fill="FFFFFF"/>
        </w:rPr>
        <w:t>26</w:t>
      </w:r>
      <w:r>
        <w:rPr>
          <w:rFonts w:hint="eastAsia" w:ascii="仿宋" w:hAnsi="仿宋" w:eastAsia="仿宋" w:cs="仿宋"/>
          <w:b w:val="0"/>
          <w:bCs w:val="0"/>
          <w:i w:val="0"/>
          <w:iCs w:val="0"/>
          <w:caps w:val="0"/>
          <w:color w:val="333333"/>
          <w:spacing w:val="0"/>
          <w:sz w:val="32"/>
          <w:szCs w:val="32"/>
          <w:shd w:val="clear" w:fill="FFFFFF"/>
        </w:rPr>
        <w:t> 号</w:t>
      </w:r>
      <w:r>
        <w:rPr>
          <w:rFonts w:hint="eastAsia" w:ascii="仿宋" w:hAnsi="仿宋" w:eastAsia="仿宋" w:cs="仿宋"/>
          <w:b w:val="0"/>
          <w:bCs w:val="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7.《医疗机构药事管理规定》（</w:t>
      </w:r>
      <w:r>
        <w:rPr>
          <w:rFonts w:hint="eastAsia" w:ascii="仿宋" w:hAnsi="仿宋" w:eastAsia="仿宋" w:cs="仿宋"/>
          <w:i w:val="0"/>
          <w:iCs w:val="0"/>
          <w:caps w:val="0"/>
          <w:color w:val="333333"/>
          <w:spacing w:val="0"/>
          <w:sz w:val="32"/>
          <w:szCs w:val="32"/>
          <w:shd w:val="clear" w:fill="FFFFFF"/>
        </w:rPr>
        <w:t>卫医政发〔2011〕11号</w:t>
      </w:r>
      <w:r>
        <w:rPr>
          <w:rFonts w:hint="eastAsia" w:ascii="仿宋" w:hAnsi="仿宋" w:eastAsia="仿宋" w:cs="仿宋"/>
          <w:b w:val="0"/>
          <w:bCs w:val="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三、主要内容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i w:val="0"/>
          <w:iCs w:val="0"/>
          <w:caps w:val="0"/>
          <w:color w:val="333333"/>
          <w:spacing w:val="0"/>
          <w:sz w:val="31"/>
          <w:szCs w:val="31"/>
          <w:shd w:val="clear" w:fill="FFFFFF"/>
          <w:lang w:val="en-US" w:eastAsia="zh-CN"/>
        </w:rPr>
      </w:pPr>
      <w:r>
        <w:rPr>
          <w:rFonts w:hint="eastAsia" w:ascii="仿宋" w:hAnsi="仿宋" w:eastAsia="仿宋" w:cs="仿宋"/>
          <w:b w:val="0"/>
          <w:bCs w:val="0"/>
          <w:sz w:val="32"/>
          <w:szCs w:val="32"/>
          <w:lang w:val="en-US" w:eastAsia="zh-CN"/>
        </w:rPr>
        <w:t>《规范》共设置了7</w:t>
      </w:r>
      <w:bookmarkStart w:id="0" w:name="_GoBack"/>
      <w:bookmarkEnd w:id="0"/>
      <w:r>
        <w:rPr>
          <w:rFonts w:hint="eastAsia" w:ascii="仿宋" w:hAnsi="仿宋" w:eastAsia="仿宋" w:cs="仿宋"/>
          <w:b w:val="0"/>
          <w:bCs w:val="0"/>
          <w:sz w:val="32"/>
          <w:szCs w:val="32"/>
          <w:lang w:val="en-US" w:eastAsia="zh-CN"/>
        </w:rPr>
        <w:t>章</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49</w:t>
      </w:r>
      <w:r>
        <w:rPr>
          <w:rFonts w:hint="eastAsia" w:ascii="仿宋" w:hAnsi="仿宋" w:eastAsia="仿宋" w:cs="仿宋"/>
          <w:b w:val="0"/>
          <w:bCs w:val="0"/>
          <w:sz w:val="32"/>
          <w:szCs w:val="32"/>
          <w:lang w:val="en-US" w:eastAsia="zh-CN"/>
        </w:rPr>
        <w:t>条，对医疗机构药品使用质量从组织机构和管理职责、人员与培训、药品采购与验收、药品储存与养护、调配和使用等方面予以规范。</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i w:val="0"/>
          <w:iCs w:val="0"/>
          <w:caps w:val="0"/>
          <w:color w:val="333333"/>
          <w:spacing w:val="0"/>
          <w:sz w:val="31"/>
          <w:szCs w:val="31"/>
          <w:shd w:val="clear" w:fill="FFFFFF"/>
          <w:lang w:eastAsia="zh-CN"/>
        </w:rPr>
      </w:pPr>
      <w:r>
        <w:rPr>
          <w:rFonts w:hint="eastAsia" w:ascii="仿宋" w:hAnsi="仿宋" w:eastAsia="仿宋" w:cs="仿宋"/>
          <w:i w:val="0"/>
          <w:iCs w:val="0"/>
          <w:caps w:val="0"/>
          <w:color w:val="333333"/>
          <w:spacing w:val="0"/>
          <w:sz w:val="31"/>
          <w:szCs w:val="31"/>
          <w:shd w:val="clear" w:fill="FFFFFF"/>
          <w:lang w:eastAsia="zh-CN"/>
        </w:rPr>
        <w:t>第一章“总则”共</w:t>
      </w:r>
      <w:r>
        <w:rPr>
          <w:rFonts w:hint="eastAsia" w:ascii="仿宋" w:hAnsi="仿宋" w:eastAsia="仿宋" w:cs="仿宋"/>
          <w:i w:val="0"/>
          <w:iCs w:val="0"/>
          <w:caps w:val="0"/>
          <w:color w:val="333333"/>
          <w:spacing w:val="0"/>
          <w:sz w:val="31"/>
          <w:szCs w:val="31"/>
          <w:u w:val="none"/>
          <w:shd w:val="clear" w:fill="FFFFFF"/>
          <w:lang w:val="en-US" w:eastAsia="zh-CN"/>
        </w:rPr>
        <w:t>4</w:t>
      </w:r>
      <w:r>
        <w:rPr>
          <w:rFonts w:hint="eastAsia" w:ascii="仿宋" w:hAnsi="仿宋" w:eastAsia="仿宋" w:cs="仿宋"/>
          <w:i w:val="0"/>
          <w:iCs w:val="0"/>
          <w:caps w:val="0"/>
          <w:color w:val="333333"/>
          <w:spacing w:val="0"/>
          <w:sz w:val="31"/>
          <w:szCs w:val="31"/>
          <w:shd w:val="clear" w:fill="FFFFFF"/>
          <w:lang w:eastAsia="zh-CN"/>
        </w:rPr>
        <w:t>条，</w:t>
      </w:r>
      <w:r>
        <w:rPr>
          <w:rFonts w:ascii="仿宋" w:hAnsi="仿宋" w:eastAsia="仿宋" w:cs="仿宋"/>
          <w:i w:val="0"/>
          <w:iCs w:val="0"/>
          <w:caps w:val="0"/>
          <w:color w:val="333333"/>
          <w:spacing w:val="0"/>
          <w:sz w:val="31"/>
          <w:szCs w:val="31"/>
          <w:shd w:val="clear" w:fill="FFFFFF"/>
        </w:rPr>
        <w:t>具体规定了制定</w:t>
      </w:r>
      <w:r>
        <w:rPr>
          <w:rFonts w:hint="eastAsia" w:ascii="仿宋" w:hAnsi="仿宋" w:eastAsia="仿宋" w:cs="仿宋"/>
          <w:i w:val="0"/>
          <w:iCs w:val="0"/>
          <w:caps w:val="0"/>
          <w:color w:val="333333"/>
          <w:spacing w:val="0"/>
          <w:sz w:val="31"/>
          <w:szCs w:val="31"/>
          <w:shd w:val="clear" w:fill="FFFFFF"/>
          <w:lang w:eastAsia="zh-CN"/>
        </w:rPr>
        <w:t>规范的</w:t>
      </w:r>
      <w:r>
        <w:rPr>
          <w:rFonts w:ascii="仿宋" w:hAnsi="仿宋" w:eastAsia="仿宋" w:cs="仿宋"/>
          <w:i w:val="0"/>
          <w:iCs w:val="0"/>
          <w:caps w:val="0"/>
          <w:color w:val="333333"/>
          <w:spacing w:val="0"/>
          <w:sz w:val="31"/>
          <w:szCs w:val="31"/>
          <w:shd w:val="clear" w:fill="FFFFFF"/>
        </w:rPr>
        <w:t>目的、依据</w:t>
      </w:r>
      <w:r>
        <w:rPr>
          <w:rFonts w:hint="eastAsia" w:ascii="仿宋" w:hAnsi="仿宋" w:eastAsia="仿宋" w:cs="仿宋"/>
          <w:i w:val="0"/>
          <w:iCs w:val="0"/>
          <w:caps w:val="0"/>
          <w:color w:val="333333"/>
          <w:spacing w:val="0"/>
          <w:sz w:val="31"/>
          <w:szCs w:val="31"/>
          <w:shd w:val="clear" w:fill="FFFFFF"/>
          <w:lang w:eastAsia="zh-CN"/>
        </w:rPr>
        <w:t>和</w:t>
      </w:r>
      <w:r>
        <w:rPr>
          <w:rFonts w:ascii="仿宋" w:hAnsi="仿宋" w:eastAsia="仿宋" w:cs="仿宋"/>
          <w:i w:val="0"/>
          <w:iCs w:val="0"/>
          <w:caps w:val="0"/>
          <w:color w:val="333333"/>
          <w:spacing w:val="0"/>
          <w:sz w:val="31"/>
          <w:szCs w:val="31"/>
          <w:shd w:val="clear" w:fill="FFFFFF"/>
        </w:rPr>
        <w:t>适用范围</w:t>
      </w:r>
      <w:r>
        <w:rPr>
          <w:rFonts w:hint="eastAsia" w:ascii="仿宋" w:hAnsi="仿宋" w:eastAsia="仿宋" w:cs="仿宋"/>
          <w:i w:val="0"/>
          <w:iCs w:val="0"/>
          <w:caps w:val="0"/>
          <w:color w:val="333333"/>
          <w:spacing w:val="0"/>
          <w:sz w:val="31"/>
          <w:szCs w:val="31"/>
          <w:shd w:val="clear"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i w:val="0"/>
          <w:iCs w:val="0"/>
          <w:caps w:val="0"/>
          <w:color w:val="333333"/>
          <w:spacing w:val="0"/>
          <w:sz w:val="31"/>
          <w:szCs w:val="31"/>
          <w:shd w:val="clear" w:fill="FFFFFF"/>
          <w:lang w:eastAsia="zh-CN"/>
        </w:rPr>
      </w:pPr>
      <w:r>
        <w:rPr>
          <w:rFonts w:hint="eastAsia" w:ascii="仿宋" w:hAnsi="仿宋" w:eastAsia="仿宋" w:cs="仿宋"/>
          <w:i w:val="0"/>
          <w:iCs w:val="0"/>
          <w:caps w:val="0"/>
          <w:color w:val="333333"/>
          <w:spacing w:val="0"/>
          <w:sz w:val="31"/>
          <w:szCs w:val="31"/>
          <w:shd w:val="clear" w:fill="FFFFFF"/>
          <w:lang w:eastAsia="zh-CN"/>
        </w:rPr>
        <w:t>第二章“组织机构和管理职责”共</w:t>
      </w:r>
      <w:r>
        <w:rPr>
          <w:rFonts w:hint="eastAsia" w:ascii="仿宋" w:hAnsi="仿宋" w:eastAsia="仿宋" w:cs="仿宋"/>
          <w:i w:val="0"/>
          <w:iCs w:val="0"/>
          <w:caps w:val="0"/>
          <w:color w:val="333333"/>
          <w:spacing w:val="0"/>
          <w:sz w:val="31"/>
          <w:szCs w:val="31"/>
          <w:shd w:val="clear" w:fill="FFFFFF"/>
          <w:lang w:val="en-US" w:eastAsia="zh-CN"/>
        </w:rPr>
        <w:t>5</w:t>
      </w:r>
      <w:r>
        <w:rPr>
          <w:rFonts w:hint="eastAsia" w:ascii="仿宋" w:hAnsi="仿宋" w:eastAsia="仿宋" w:cs="仿宋"/>
          <w:i w:val="0"/>
          <w:iCs w:val="0"/>
          <w:caps w:val="0"/>
          <w:color w:val="333333"/>
          <w:spacing w:val="0"/>
          <w:sz w:val="31"/>
          <w:szCs w:val="31"/>
          <w:shd w:val="clear" w:fill="FFFFFF"/>
          <w:lang w:eastAsia="zh-CN"/>
        </w:rPr>
        <w:t>条，明确了医疗机构药品质量管理部门（人员）的职责，对二级及以上和其他医疗机构药品质量管理组织机构的设置分别提出要求，明确医疗机构药品质量管理部门或药品质量管理人员对本</w:t>
      </w:r>
      <w:r>
        <w:rPr>
          <w:rFonts w:hint="eastAsia" w:ascii="仿宋_GB2312" w:eastAsia="仿宋_GB2312"/>
          <w:sz w:val="32"/>
          <w:szCs w:val="32"/>
          <w:lang w:eastAsia="zh-CN"/>
        </w:rPr>
        <w:t>单位使用的</w:t>
      </w:r>
      <w:r>
        <w:rPr>
          <w:rFonts w:hint="eastAsia" w:ascii="仿宋_GB2312" w:eastAsia="仿宋_GB2312"/>
          <w:sz w:val="32"/>
          <w:szCs w:val="32"/>
        </w:rPr>
        <w:t>药品质量具有裁决权</w:t>
      </w:r>
      <w:r>
        <w:rPr>
          <w:rFonts w:hint="eastAsia" w:ascii="仿宋" w:hAnsi="仿宋" w:eastAsia="仿宋" w:cs="仿宋"/>
          <w:i w:val="0"/>
          <w:iCs w:val="0"/>
          <w:caps w:val="0"/>
          <w:color w:val="333333"/>
          <w:spacing w:val="0"/>
          <w:sz w:val="31"/>
          <w:szCs w:val="31"/>
          <w:shd w:val="clear"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i w:val="0"/>
          <w:iCs w:val="0"/>
          <w:caps w:val="0"/>
          <w:color w:val="333333"/>
          <w:spacing w:val="0"/>
          <w:sz w:val="31"/>
          <w:szCs w:val="31"/>
          <w:shd w:val="clear" w:fill="FFFFFF"/>
          <w:lang w:eastAsia="zh-CN"/>
        </w:rPr>
      </w:pPr>
      <w:r>
        <w:rPr>
          <w:rFonts w:hint="eastAsia" w:ascii="仿宋" w:hAnsi="仿宋" w:eastAsia="仿宋" w:cs="仿宋"/>
          <w:i w:val="0"/>
          <w:iCs w:val="0"/>
          <w:caps w:val="0"/>
          <w:color w:val="333333"/>
          <w:spacing w:val="0"/>
          <w:sz w:val="31"/>
          <w:szCs w:val="31"/>
          <w:shd w:val="clear" w:fill="FFFFFF"/>
          <w:lang w:eastAsia="zh-CN"/>
        </w:rPr>
        <w:t>第三章“人员与培训”共</w:t>
      </w:r>
      <w:r>
        <w:rPr>
          <w:rFonts w:hint="eastAsia" w:ascii="仿宋" w:hAnsi="仿宋" w:eastAsia="仿宋" w:cs="仿宋"/>
          <w:i w:val="0"/>
          <w:iCs w:val="0"/>
          <w:caps w:val="0"/>
          <w:color w:val="333333"/>
          <w:spacing w:val="0"/>
          <w:sz w:val="31"/>
          <w:szCs w:val="31"/>
          <w:shd w:val="clear" w:fill="FFFFFF"/>
          <w:lang w:val="en-US" w:eastAsia="zh-CN"/>
        </w:rPr>
        <w:t>5</w:t>
      </w:r>
      <w:r>
        <w:rPr>
          <w:rFonts w:hint="eastAsia" w:ascii="仿宋" w:hAnsi="仿宋" w:eastAsia="仿宋" w:cs="仿宋"/>
          <w:i w:val="0"/>
          <w:iCs w:val="0"/>
          <w:caps w:val="0"/>
          <w:color w:val="333333"/>
          <w:spacing w:val="0"/>
          <w:sz w:val="31"/>
          <w:szCs w:val="31"/>
          <w:shd w:val="clear" w:fill="FFFFFF"/>
          <w:lang w:eastAsia="zh-CN"/>
        </w:rPr>
        <w:t>条，要求</w:t>
      </w:r>
      <w:r>
        <w:rPr>
          <w:rFonts w:hint="eastAsia" w:ascii="仿宋_GB2312" w:eastAsia="仿宋_GB2312"/>
          <w:color w:val="000000"/>
          <w:sz w:val="32"/>
          <w:szCs w:val="32"/>
        </w:rPr>
        <w:t>医疗机构</w:t>
      </w:r>
      <w:r>
        <w:rPr>
          <w:rFonts w:hint="eastAsia" w:ascii="仿宋_GB2312" w:eastAsia="仿宋_GB2312"/>
          <w:color w:val="000000"/>
          <w:sz w:val="32"/>
          <w:szCs w:val="32"/>
          <w:lang w:eastAsia="zh-CN"/>
        </w:rPr>
        <w:t>应当</w:t>
      </w:r>
      <w:r>
        <w:rPr>
          <w:rFonts w:hint="eastAsia" w:ascii="仿宋_GB2312" w:eastAsia="仿宋_GB2312"/>
          <w:color w:val="000000"/>
          <w:sz w:val="32"/>
          <w:szCs w:val="32"/>
        </w:rPr>
        <w:t>配备与用药规模相适应</w:t>
      </w:r>
      <w:r>
        <w:rPr>
          <w:rFonts w:hint="eastAsia" w:ascii="仿宋_GB2312" w:eastAsia="仿宋_GB2312"/>
          <w:color w:val="000000"/>
          <w:sz w:val="32"/>
          <w:szCs w:val="32"/>
          <w:lang w:eastAsia="zh-CN"/>
        </w:rPr>
        <w:t>的</w:t>
      </w:r>
      <w:r>
        <w:rPr>
          <w:rFonts w:hint="eastAsia" w:ascii="仿宋_GB2312" w:eastAsia="仿宋_GB2312"/>
          <w:color w:val="000000"/>
          <w:sz w:val="32"/>
          <w:szCs w:val="32"/>
        </w:rPr>
        <w:t>依法经过资格认定的</w:t>
      </w:r>
      <w:r>
        <w:rPr>
          <w:rFonts w:hint="eastAsia" w:ascii="仿宋_GB2312" w:eastAsia="仿宋_GB2312"/>
          <w:color w:val="000000"/>
          <w:sz w:val="32"/>
          <w:szCs w:val="32"/>
          <w:lang w:eastAsia="zh-CN"/>
        </w:rPr>
        <w:t>药师或其他</w:t>
      </w:r>
      <w:r>
        <w:rPr>
          <w:rFonts w:hint="eastAsia" w:ascii="仿宋_GB2312" w:eastAsia="仿宋_GB2312"/>
          <w:color w:val="000000"/>
          <w:sz w:val="32"/>
          <w:szCs w:val="32"/>
        </w:rPr>
        <w:t>药学</w:t>
      </w:r>
      <w:r>
        <w:rPr>
          <w:rFonts w:hint="eastAsia" w:ascii="仿宋_GB2312" w:eastAsia="仿宋_GB2312"/>
          <w:color w:val="000000"/>
          <w:sz w:val="32"/>
          <w:szCs w:val="32"/>
          <w:lang w:eastAsia="zh-CN"/>
        </w:rPr>
        <w:t>专业</w:t>
      </w:r>
      <w:r>
        <w:rPr>
          <w:rFonts w:hint="eastAsia" w:ascii="仿宋_GB2312" w:eastAsia="仿宋_GB2312"/>
          <w:color w:val="000000"/>
          <w:sz w:val="32"/>
          <w:szCs w:val="32"/>
        </w:rPr>
        <w:t>技术人员</w:t>
      </w:r>
      <w:r>
        <w:rPr>
          <w:rFonts w:hint="eastAsia" w:ascii="仿宋_GB2312" w:eastAsia="仿宋_GB2312"/>
          <w:color w:val="000000"/>
          <w:sz w:val="32"/>
          <w:szCs w:val="32"/>
          <w:lang w:eastAsia="zh-CN"/>
        </w:rPr>
        <w:t>，</w:t>
      </w:r>
      <w:r>
        <w:rPr>
          <w:rFonts w:hint="eastAsia" w:ascii="仿宋_GB2312" w:eastAsia="仿宋_GB2312"/>
          <w:sz w:val="32"/>
          <w:szCs w:val="32"/>
          <w:lang w:eastAsia="zh-CN"/>
        </w:rPr>
        <w:t>分级分类明确不同级别（类型）医疗机构药学专业技术人员的配备要求</w:t>
      </w:r>
      <w:r>
        <w:rPr>
          <w:rFonts w:hint="eastAsia" w:ascii="仿宋" w:hAnsi="仿宋" w:eastAsia="仿宋" w:cs="仿宋"/>
          <w:i w:val="0"/>
          <w:iCs w:val="0"/>
          <w:caps w:val="0"/>
          <w:color w:val="333333"/>
          <w:spacing w:val="0"/>
          <w:sz w:val="31"/>
          <w:szCs w:val="31"/>
          <w:shd w:val="clear" w:fill="FFFFFF"/>
          <w:lang w:eastAsia="zh-CN"/>
        </w:rPr>
        <w:t>，并对人员健康和培训管理提出要求。</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i w:val="0"/>
          <w:iCs w:val="0"/>
          <w:caps w:val="0"/>
          <w:color w:val="333333"/>
          <w:spacing w:val="0"/>
          <w:sz w:val="31"/>
          <w:szCs w:val="31"/>
          <w:shd w:val="clear" w:fill="FFFFFF"/>
          <w:lang w:val="en-US" w:eastAsia="zh-CN"/>
        </w:rPr>
      </w:pPr>
      <w:r>
        <w:rPr>
          <w:rFonts w:hint="eastAsia" w:ascii="仿宋" w:hAnsi="仿宋" w:eastAsia="仿宋" w:cs="仿宋"/>
          <w:i w:val="0"/>
          <w:iCs w:val="0"/>
          <w:caps w:val="0"/>
          <w:color w:val="333333"/>
          <w:spacing w:val="0"/>
          <w:sz w:val="31"/>
          <w:szCs w:val="31"/>
          <w:shd w:val="clear" w:fill="FFFFFF"/>
          <w:lang w:eastAsia="zh-CN"/>
        </w:rPr>
        <w:t>第四章“药品采购与验收”共</w:t>
      </w:r>
      <w:r>
        <w:rPr>
          <w:rFonts w:hint="eastAsia" w:ascii="仿宋" w:hAnsi="仿宋" w:eastAsia="仿宋" w:cs="仿宋"/>
          <w:i w:val="0"/>
          <w:iCs w:val="0"/>
          <w:caps w:val="0"/>
          <w:color w:val="333333"/>
          <w:spacing w:val="0"/>
          <w:sz w:val="31"/>
          <w:szCs w:val="31"/>
          <w:shd w:val="clear" w:fill="FFFFFF"/>
          <w:lang w:val="en-US" w:eastAsia="zh-CN"/>
        </w:rPr>
        <w:t>11条，明确</w:t>
      </w:r>
      <w:r>
        <w:rPr>
          <w:rFonts w:hint="eastAsia" w:ascii="仿宋_GB2312" w:eastAsia="仿宋_GB2312"/>
          <w:color w:val="000000"/>
          <w:spacing w:val="4"/>
          <w:sz w:val="32"/>
          <w:szCs w:val="32"/>
        </w:rPr>
        <w:t>医疗机构</w:t>
      </w:r>
      <w:r>
        <w:rPr>
          <w:rFonts w:hint="eastAsia" w:ascii="仿宋_GB2312" w:eastAsia="仿宋_GB2312"/>
          <w:color w:val="000000"/>
          <w:spacing w:val="4"/>
          <w:sz w:val="32"/>
          <w:szCs w:val="32"/>
          <w:lang w:eastAsia="zh-CN"/>
        </w:rPr>
        <w:t>应当从药品上市许可持有人或者具有药品生产、经营资格的企业购进药品，</w:t>
      </w:r>
      <w:r>
        <w:rPr>
          <w:rFonts w:hint="eastAsia" w:ascii="仿宋_GB2312" w:eastAsia="仿宋_GB2312"/>
          <w:color w:val="000000" w:themeColor="text1"/>
          <w:spacing w:val="4"/>
          <w:sz w:val="32"/>
          <w:szCs w:val="32"/>
          <w:u w:val="none"/>
          <w:lang w:eastAsia="zh-CN"/>
          <w14:textFill>
            <w14:solidFill>
              <w14:schemeClr w14:val="tx1"/>
            </w14:solidFill>
          </w14:textFill>
        </w:rPr>
        <w:t>并</w:t>
      </w:r>
      <w:r>
        <w:rPr>
          <w:rFonts w:hint="eastAsia" w:ascii="仿宋" w:hAnsi="仿宋" w:eastAsia="仿宋" w:cs="仿宋"/>
          <w:i w:val="0"/>
          <w:iCs w:val="0"/>
          <w:caps w:val="0"/>
          <w:color w:val="000000" w:themeColor="text1"/>
          <w:spacing w:val="0"/>
          <w:sz w:val="31"/>
          <w:szCs w:val="31"/>
          <w:u w:val="none"/>
          <w:shd w:val="clear" w:fill="FFFFFF"/>
          <w:lang w:val="en-US" w:eastAsia="zh-CN"/>
          <w14:textFill>
            <w14:solidFill>
              <w14:schemeClr w14:val="tx1"/>
            </w14:solidFill>
          </w14:textFill>
        </w:rPr>
        <w:t>对供货单位资质审核、药品验收和验收记录等提出具体要求</w:t>
      </w:r>
      <w:r>
        <w:rPr>
          <w:rFonts w:hint="eastAsia" w:ascii="仿宋" w:hAnsi="仿宋" w:eastAsia="仿宋" w:cs="仿宋"/>
          <w:i w:val="0"/>
          <w:iCs w:val="0"/>
          <w:caps w:val="0"/>
          <w:color w:val="0000FF"/>
          <w:spacing w:val="0"/>
          <w:sz w:val="31"/>
          <w:szCs w:val="31"/>
          <w:u w:val="none"/>
          <w:shd w:val="clear" w:fill="FFFFFF"/>
          <w:lang w:val="en-US" w:eastAsia="zh-CN"/>
        </w:rPr>
        <w:t>，</w:t>
      </w:r>
      <w:r>
        <w:rPr>
          <w:rFonts w:hint="eastAsia" w:ascii="仿宋" w:hAnsi="仿宋" w:eastAsia="仿宋" w:cs="仿宋"/>
          <w:i w:val="0"/>
          <w:iCs w:val="0"/>
          <w:caps w:val="0"/>
          <w:color w:val="333333"/>
          <w:spacing w:val="0"/>
          <w:sz w:val="31"/>
          <w:szCs w:val="31"/>
          <w:shd w:val="clear" w:fill="FFFFFF"/>
          <w:lang w:val="en-US" w:eastAsia="zh-CN"/>
        </w:rPr>
        <w:t>同时强化了对疫苗、中药饮片和中药配方颗粒的购进验收的管理。</w:t>
      </w:r>
    </w:p>
    <w:p>
      <w:pPr>
        <w:pStyle w:val="6"/>
        <w:keepNext w:val="0"/>
        <w:keepLines w:val="0"/>
        <w:pageBreakBefore w:val="0"/>
        <w:widowControl/>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i w:val="0"/>
          <w:iCs w:val="0"/>
          <w:caps w:val="0"/>
          <w:color w:val="333333"/>
          <w:spacing w:val="0"/>
          <w:sz w:val="31"/>
          <w:szCs w:val="31"/>
          <w:shd w:val="clear" w:fill="FFFFFF"/>
          <w:lang w:val="en-US" w:eastAsia="zh-CN"/>
        </w:rPr>
      </w:pPr>
      <w:r>
        <w:rPr>
          <w:rFonts w:hint="eastAsia" w:ascii="仿宋" w:hAnsi="仿宋" w:eastAsia="仿宋" w:cs="仿宋"/>
          <w:i w:val="0"/>
          <w:iCs w:val="0"/>
          <w:caps w:val="0"/>
          <w:color w:val="333333"/>
          <w:spacing w:val="0"/>
          <w:sz w:val="31"/>
          <w:szCs w:val="31"/>
          <w:shd w:val="clear" w:fill="FFFFFF"/>
          <w:lang w:val="en-US" w:eastAsia="zh-CN"/>
        </w:rPr>
        <w:t>第五章“药品储存与养护”共9条，规定</w:t>
      </w:r>
      <w:r>
        <w:rPr>
          <w:rFonts w:hint="eastAsia" w:ascii="仿宋_GB2312" w:eastAsia="仿宋_GB2312"/>
          <w:color w:val="000000"/>
          <w:sz w:val="32"/>
          <w:szCs w:val="32"/>
        </w:rPr>
        <w:t>医疗机构应</w:t>
      </w:r>
      <w:r>
        <w:rPr>
          <w:rFonts w:hint="eastAsia" w:ascii="仿宋_GB2312" w:eastAsia="仿宋_GB2312"/>
          <w:color w:val="000000"/>
          <w:sz w:val="32"/>
          <w:szCs w:val="32"/>
          <w:lang w:eastAsia="zh-CN"/>
        </w:rPr>
        <w:t>当</w:t>
      </w:r>
      <w:r>
        <w:rPr>
          <w:rFonts w:hint="eastAsia" w:ascii="仿宋_GB2312" w:eastAsia="仿宋_GB2312"/>
          <w:color w:val="000000"/>
          <w:sz w:val="32"/>
          <w:szCs w:val="32"/>
        </w:rPr>
        <w:t>有与所使用药品</w:t>
      </w:r>
      <w:r>
        <w:rPr>
          <w:rFonts w:hint="eastAsia" w:ascii="仿宋_GB2312" w:eastAsia="仿宋_GB2312"/>
          <w:color w:val="000000"/>
          <w:sz w:val="32"/>
          <w:szCs w:val="32"/>
          <w:lang w:eastAsia="zh-CN"/>
        </w:rPr>
        <w:t>规模</w:t>
      </w:r>
      <w:r>
        <w:rPr>
          <w:rFonts w:hint="eastAsia" w:ascii="仿宋_GB2312" w:eastAsia="仿宋_GB2312"/>
          <w:color w:val="000000"/>
          <w:sz w:val="32"/>
          <w:szCs w:val="32"/>
        </w:rPr>
        <w:t>相适应的</w:t>
      </w:r>
      <w:r>
        <w:rPr>
          <w:rFonts w:hint="eastAsia" w:ascii="仿宋_GB2312" w:eastAsia="仿宋_GB2312"/>
          <w:color w:val="000000"/>
          <w:sz w:val="32"/>
          <w:szCs w:val="32"/>
          <w:lang w:eastAsia="zh-CN"/>
        </w:rPr>
        <w:t>场所、设备、仓储设施和卫生环境，采取必要的冷藏、防冻、防潮、防虫、防鼠等措施，保证药品质量，并就</w:t>
      </w:r>
      <w:r>
        <w:rPr>
          <w:rFonts w:hint="eastAsia" w:ascii="仿宋" w:hAnsi="仿宋" w:eastAsia="仿宋" w:cs="仿宋"/>
          <w:i w:val="0"/>
          <w:iCs w:val="0"/>
          <w:caps w:val="0"/>
          <w:color w:val="333333"/>
          <w:spacing w:val="0"/>
          <w:sz w:val="31"/>
          <w:szCs w:val="31"/>
          <w:shd w:val="clear" w:fill="FFFFFF"/>
          <w:lang w:val="en-US" w:eastAsia="zh-CN"/>
        </w:rPr>
        <w:t>医疗机构药品库房设置、设施设备配备以及药品的储存提出了具体要求，重点强调了冷藏冷冻药品的储存要求。</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i w:val="0"/>
          <w:iCs w:val="0"/>
          <w:caps w:val="0"/>
          <w:color w:val="333333"/>
          <w:spacing w:val="0"/>
          <w:sz w:val="31"/>
          <w:szCs w:val="31"/>
          <w:shd w:val="clear" w:fill="FFFFFF"/>
          <w:lang w:val="en-US" w:eastAsia="zh-CN"/>
        </w:rPr>
      </w:pPr>
      <w:r>
        <w:rPr>
          <w:rFonts w:hint="eastAsia" w:ascii="仿宋" w:hAnsi="仿宋" w:eastAsia="仿宋" w:cs="仿宋"/>
          <w:i w:val="0"/>
          <w:iCs w:val="0"/>
          <w:caps w:val="0"/>
          <w:color w:val="333333"/>
          <w:spacing w:val="0"/>
          <w:sz w:val="31"/>
          <w:szCs w:val="31"/>
          <w:shd w:val="clear" w:fill="FFFFFF"/>
          <w:lang w:val="en-US" w:eastAsia="zh-CN"/>
        </w:rPr>
        <w:t>第六章“药品调配与使用”共12条，要求</w:t>
      </w:r>
      <w:r>
        <w:rPr>
          <w:rFonts w:hint="eastAsia" w:ascii="仿宋" w:hAnsi="仿宋" w:eastAsia="仿宋" w:cs="仿宋"/>
          <w:color w:val="000000"/>
          <w:sz w:val="32"/>
          <w:szCs w:val="32"/>
          <w:lang w:val="en-US" w:eastAsia="zh-CN"/>
        </w:rPr>
        <w:t>医疗机构应当坚持安全有效、经济合理的用药原则，遵循药品临床应用指导原则、临床诊疗指南和药品说明书等合理用药，</w:t>
      </w:r>
      <w:r>
        <w:rPr>
          <w:rFonts w:hint="eastAsia" w:ascii="仿宋_GB2312" w:eastAsia="仿宋_GB2312"/>
          <w:color w:val="000000"/>
          <w:sz w:val="32"/>
          <w:szCs w:val="32"/>
          <w:lang w:val="en-US" w:eastAsia="zh-CN"/>
        </w:rPr>
        <w:t>并考察本单位所使用的药品质量、疗效和不良反应，强化药品不良反应监测，</w:t>
      </w:r>
      <w:r>
        <w:rPr>
          <w:rFonts w:hint="eastAsia" w:ascii="仿宋" w:hAnsi="仿宋" w:eastAsia="仿宋" w:cs="仿宋"/>
          <w:i w:val="0"/>
          <w:iCs w:val="0"/>
          <w:caps w:val="0"/>
          <w:color w:val="333333"/>
          <w:spacing w:val="0"/>
          <w:sz w:val="31"/>
          <w:szCs w:val="31"/>
          <w:shd w:val="clear" w:fill="FFFFFF"/>
          <w:lang w:val="en-US" w:eastAsia="zh-CN"/>
        </w:rPr>
        <w:t>规范医疗机构制剂管理。</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20" w:firstLineChars="200"/>
        <w:textAlignment w:val="auto"/>
        <w:rPr>
          <w:rFonts w:hint="default" w:ascii="仿宋" w:hAnsi="仿宋" w:eastAsia="仿宋" w:cs="仿宋"/>
          <w:i w:val="0"/>
          <w:iCs w:val="0"/>
          <w:caps w:val="0"/>
          <w:color w:val="000000" w:themeColor="text1"/>
          <w:spacing w:val="0"/>
          <w:sz w:val="31"/>
          <w:szCs w:val="31"/>
          <w:u w:val="none"/>
          <w:shd w:val="clear" w:fill="FFFFFF"/>
          <w:lang w:val="en-US" w:eastAsia="zh-CN"/>
          <w14:textFill>
            <w14:solidFill>
              <w14:schemeClr w14:val="tx1"/>
            </w14:solidFill>
          </w14:textFill>
        </w:rPr>
      </w:pPr>
      <w:r>
        <w:rPr>
          <w:rFonts w:hint="eastAsia" w:ascii="仿宋" w:hAnsi="仿宋" w:eastAsia="仿宋" w:cs="仿宋"/>
          <w:i w:val="0"/>
          <w:iCs w:val="0"/>
          <w:caps w:val="0"/>
          <w:color w:val="333333"/>
          <w:spacing w:val="0"/>
          <w:sz w:val="31"/>
          <w:szCs w:val="31"/>
          <w:shd w:val="clear" w:fill="FFFFFF"/>
          <w:lang w:val="en-US" w:eastAsia="zh-CN"/>
        </w:rPr>
        <w:t>第七章“附则”共3条，主要对《规范》涉及的用语进行了解释，</w:t>
      </w:r>
      <w:r>
        <w:rPr>
          <w:rFonts w:hint="eastAsia" w:ascii="仿宋" w:hAnsi="仿宋" w:eastAsia="仿宋" w:cs="仿宋"/>
          <w:i w:val="0"/>
          <w:iCs w:val="0"/>
          <w:caps w:val="0"/>
          <w:color w:val="000000" w:themeColor="text1"/>
          <w:spacing w:val="0"/>
          <w:sz w:val="31"/>
          <w:szCs w:val="31"/>
          <w:u w:val="none"/>
          <w:shd w:val="clear" w:fill="FFFFFF"/>
          <w:lang w:val="en-US" w:eastAsia="zh-CN"/>
          <w14:textFill>
            <w14:solidFill>
              <w14:schemeClr w14:val="tx1"/>
            </w14:solidFill>
          </w14:textFill>
        </w:rPr>
        <w:t>并明确由自治区药监局和自治区卫生健康委负责解释。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54876A"/>
    <w:multiLevelType w:val="singleLevel"/>
    <w:tmpl w:val="7454876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36BE0"/>
    <w:rsid w:val="1B4019B2"/>
    <w:rsid w:val="1DEB662F"/>
    <w:rsid w:val="29CD1F58"/>
    <w:rsid w:val="2AB202B8"/>
    <w:rsid w:val="3C28761F"/>
    <w:rsid w:val="5A1046A1"/>
    <w:rsid w:val="5DD36BE0"/>
    <w:rsid w:val="5F33729C"/>
    <w:rsid w:val="61847F71"/>
    <w:rsid w:val="62E63CF5"/>
    <w:rsid w:val="6CC92E9D"/>
    <w:rsid w:val="7FF716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2021-04-07T02:53:00Z</dcterms:created>
  <dc:creator>猪宝她妈。</dc:creator>
  <cp:lastModifiedBy>猪宝她妈。</cp:lastModifiedBy>
  <dcterms:modified xsi:type="dcterms:W3CDTF">2021-08-13T06:47:37Z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92881134623B4328A697D7CF1CBEC61F</vt:lpwstr>
  </property>
</Properties>
</file>