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《宁夏回族自治区传统医学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师承备案管理办法》政策解读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一、</w:t>
      </w:r>
      <w:r>
        <w:rPr>
          <w:rFonts w:hint="eastAsia" w:ascii="黑体" w:eastAsia="黑体"/>
          <w:sz w:val="32"/>
          <w:szCs w:val="32"/>
          <w:lang w:val="en-US" w:eastAsia="zh-CN"/>
        </w:rPr>
        <w:t>《办法》</w:t>
      </w:r>
      <w:r>
        <w:rPr>
          <w:rFonts w:hint="eastAsia" w:ascii="黑体" w:eastAsia="黑体"/>
          <w:sz w:val="32"/>
          <w:szCs w:val="32"/>
          <w:lang w:eastAsia="zh-CN"/>
        </w:rPr>
        <w:t>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2006年，原国家卫生部发布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《传统医学师承和确有专长人员医师资格考核考试办法》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对传统医学师承和确有专长人员申请参加医师资格考试的资格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进行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评价和认定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。作为配套性文件，2010年自治区卫生厅印发《关于印发宁夏回族自治区传统医学师承管理办法（试行）的通知》（宁卫中医〔2010〕176号），对传统医学师承人员跟师学习的形式、内容，师承工作日常监管和考核等作出了明确规定。2017年，原国家卫生和计划生育委员会令第15号《中医医术确有专长人员医师资格考核注册管理暂行办法》公布施行，其中对以师承方式学习中医指导老师同时带徒等进行规定。2020年12月，按照自治区政府统一部署，自治区卫生健康委对行政规范性文件进行了清理审查，《宁夏回族自治区传统医学师承管理办法（试行）》有关条款内容与《中医医术确有专长人员医师资格考核注册管理暂行办法》（中华人民共和国卫生和计划生育委员会令第15号）不符合，需要修改。自治区卫生健康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GB" w:eastAsia="zh-CN"/>
        </w:rPr>
        <w:t>依据《中医药法》《执业医师法》《中医医术确有专长人员医师资格考核注册管理暂行办法》《传统医学师承和确有专长人员医师资格考核考试办法》等法律法规规章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，结合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工作实际，经广泛征求委机关各有关处室、直属单位、各市县（区）卫生健康主管部门、专家和社会各界意见，形成《宁夏回族自治区传统医学师承备案管理办法》，按程序印发执行，于2021年9月1日起实施。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二、主要内容解读</w:t>
      </w:r>
    </w:p>
    <w:p>
      <w:pPr>
        <w:widowControl/>
        <w:ind w:firstLine="632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US" w:eastAsia="zh-CN"/>
        </w:rPr>
        <w:t>（一）适用人员</w:t>
      </w:r>
    </w:p>
    <w:p>
      <w:pPr>
        <w:widowControl/>
        <w:ind w:firstLine="632" w:firstLineChars="200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具有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本自治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区户籍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或实际长期居住本自治区，跟随本自治区内各级各类医疗机构中中医类执业医师以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师承方式学习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中医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的人员。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《中华人民共和国中医药法》施行之后，需要跟随指导老师参加中医医术专长实践的人员，参照执行。</w:t>
      </w:r>
    </w:p>
    <w:p>
      <w:pPr>
        <w:widowControl/>
        <w:ind w:firstLine="632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  <w:t>（二）师承人员必须具备的条件</w:t>
      </w:r>
    </w:p>
    <w:p>
      <w:pPr>
        <w:widowControl/>
        <w:ind w:firstLine="632" w:firstLineChars="200"/>
        <w:jc w:val="both"/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具有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本自治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区户籍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或实际长期居住本自治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；</w:t>
      </w:r>
    </w:p>
    <w:p>
      <w:pPr>
        <w:widowControl/>
        <w:ind w:firstLine="632" w:firstLineChars="200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具有高中以上文化程度或同等学力；</w:t>
      </w:r>
    </w:p>
    <w:p>
      <w:pPr>
        <w:widowControl/>
        <w:ind w:firstLine="632" w:firstLineChars="200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热爱中医药事业，具有较强的自学能力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；</w:t>
      </w:r>
    </w:p>
    <w:p>
      <w:pPr>
        <w:widowControl/>
        <w:ind w:firstLine="632" w:firstLineChars="200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身体健康，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能够在医疗机构中坚持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跟师学习和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临床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实践，完成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跟师学习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任务。</w:t>
      </w:r>
    </w:p>
    <w:p>
      <w:pPr>
        <w:widowControl/>
        <w:ind w:firstLine="632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  <w:t>（三）师承指导老师必须具备的条件</w:t>
      </w:r>
    </w:p>
    <w:p>
      <w:pPr>
        <w:widowControl/>
        <w:ind w:firstLine="632" w:firstLineChars="200"/>
        <w:jc w:val="both"/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具有中医类别执业医师资格，并经所在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主执业机构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同意；</w:t>
      </w:r>
    </w:p>
    <w:p>
      <w:pPr>
        <w:widowControl/>
        <w:ind w:firstLine="632" w:firstLineChars="200"/>
        <w:jc w:val="both"/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在本自治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各级各类医疗机构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从事中医临床工作15年以上或者具有中医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类别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副主任医师以上专业技术职务任职资格；</w:t>
      </w:r>
    </w:p>
    <w:p>
      <w:pPr>
        <w:widowControl/>
        <w:ind w:firstLine="632" w:firstLineChars="200"/>
        <w:jc w:val="both"/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有丰富的中医临床经验和独特的技术专长；</w:t>
      </w:r>
    </w:p>
    <w:p>
      <w:pPr>
        <w:widowControl/>
        <w:ind w:firstLine="632" w:firstLineChars="200"/>
        <w:jc w:val="both"/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遵纪守法，恪守职业道德，信誉良好；</w:t>
      </w:r>
    </w:p>
    <w:p>
      <w:pPr>
        <w:widowControl/>
        <w:ind w:firstLine="632" w:firstLineChars="200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身体健康，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能够在医疗机构中坚持临床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实践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，完成师承教学任务。</w:t>
      </w:r>
    </w:p>
    <w:p>
      <w:pPr>
        <w:widowControl/>
        <w:ind w:firstLine="632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  <w:t>（四）备案需要提交的材料</w:t>
      </w:r>
    </w:p>
    <w:p>
      <w:pPr>
        <w:widowControl/>
        <w:ind w:firstLine="632" w:firstLineChars="200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传统医学师承人员备案审批表；</w:t>
      </w:r>
    </w:p>
    <w:p>
      <w:pPr>
        <w:widowControl/>
        <w:ind w:firstLine="632" w:firstLineChars="200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师承学员身份证、最高学历毕业证、户籍证明（户口本或居住证）；</w:t>
      </w:r>
    </w:p>
    <w:p>
      <w:pPr>
        <w:widowControl/>
        <w:ind w:firstLine="632" w:firstLineChars="200"/>
        <w:jc w:val="both"/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师承老师身份证、医师资格证、执业证、职称证、户籍证明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；</w:t>
      </w:r>
    </w:p>
    <w:p>
      <w:pPr>
        <w:widowControl/>
        <w:ind w:firstLine="632" w:firstLineChars="200"/>
        <w:jc w:val="both"/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师承老师所在主执业医疗机构《医疗机构执业许可证》、同意带教证明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；</w:t>
      </w:r>
    </w:p>
    <w:p>
      <w:pPr>
        <w:widowControl/>
        <w:ind w:firstLine="632" w:firstLineChars="200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经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县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（区）级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以上公证机关公证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《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传统医学师承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关系合同书》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。</w:t>
      </w:r>
    </w:p>
    <w:p>
      <w:pPr>
        <w:widowControl/>
        <w:ind w:firstLine="632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  <w:t>（五）备案程序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师承人员与指导老师签订《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传统医学师承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关系合同书》，并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县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（区）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以上公证机关公证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公证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后一个月内，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师承人员向其长期师承学习所在地县（区）级卫生健康主管部门提出书面申请，并提交</w:t>
      </w:r>
      <w:r>
        <w:rPr>
          <w:rFonts w:hint="eastAsia" w:ascii="仿宋_GB2312" w:eastAsia="仿宋_GB2312"/>
          <w:color w:val="auto"/>
          <w:sz w:val="32"/>
          <w:szCs w:val="32"/>
          <w:lang w:val="en-GB" w:eastAsia="zh-CN"/>
        </w:rPr>
        <w:t>《传统医学师承人员备案审批表》。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县（区）级卫生健康主管部门对其进行</w:t>
      </w:r>
      <w:r>
        <w:rPr>
          <w:rFonts w:hint="eastAsia" w:ascii="仿宋_GB2312" w:eastAsia="仿宋_GB2312"/>
          <w:color w:val="auto"/>
          <w:sz w:val="32"/>
          <w:szCs w:val="32"/>
          <w:lang w:val="en-GB"/>
        </w:rPr>
        <w:t>初审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提出初审意见，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初审合格后报送市级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卫生健康主管部门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市级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卫生健康主管部门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结合初审意见，对申请者提交的材料进行复审，提出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审意见，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复审合格后报送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自治区卫生健康委（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自治区中医药管理局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自治区卫生健康委（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自治区中医药管理局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GB" w:eastAsia="zh-CN"/>
        </w:rPr>
        <w:t>对报送材料进行审核确认，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审核合格后，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予以备案。</w:t>
      </w:r>
    </w:p>
    <w:p>
      <w:pPr>
        <w:widowControl/>
        <w:ind w:firstLine="632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  <w:t>（六）师承学习内容</w:t>
      </w:r>
    </w:p>
    <w:p>
      <w:pPr>
        <w:widowControl/>
        <w:ind w:firstLine="632" w:firstLineChars="200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国家中医药管理局《传统医学出师考核和确有专长考核大纲》规定的内容、</w:t>
      </w:r>
      <w:r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  <w:t>中医经典著作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、指导老师的</w:t>
      </w:r>
      <w:r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  <w:t>学术经验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和</w:t>
      </w:r>
      <w:r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  <w:t>技术专长等。</w:t>
      </w:r>
    </w:p>
    <w:p>
      <w:pPr>
        <w:widowControl/>
        <w:ind w:firstLine="632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  <w:t>（七）师承学习形式及跟师要求</w:t>
      </w:r>
    </w:p>
    <w:p>
      <w:pPr>
        <w:widowControl/>
        <w:ind w:firstLine="632" w:firstLineChars="200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以临床跟师学习和自学为主。临床</w:t>
      </w:r>
      <w:r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  <w:t>跟师学习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是指师承人员在指导老师</w:t>
      </w:r>
      <w:r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  <w:t>临床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实践时实时学习中医药理论知识和实践技能</w:t>
      </w:r>
      <w:r>
        <w:rPr>
          <w:rFonts w:ascii="仿宋_GB2312" w:hAnsi="宋体" w:eastAsia="仿宋_GB2312"/>
          <w:color w:val="auto"/>
          <w:kern w:val="0"/>
          <w:sz w:val="32"/>
          <w:szCs w:val="32"/>
          <w:lang w:val="en-GB"/>
        </w:rPr>
        <w:t>，做好跟师笔记，及时归纳整理并加以研究。</w:t>
      </w:r>
    </w:p>
    <w:p>
      <w:pPr>
        <w:widowControl/>
        <w:ind w:firstLine="632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vertAlign w:val="baseline"/>
          <w:lang w:val="en-GB" w:eastAsia="zh-CN"/>
        </w:rPr>
        <w:t>（八）出师考核及证书使用</w:t>
      </w:r>
    </w:p>
    <w:p>
      <w:pPr>
        <w:widowControl w:val="0"/>
        <w:adjustRightInd/>
        <w:snapToGrid/>
        <w:spacing w:after="0"/>
        <w:ind w:firstLine="603" w:firstLineChars="197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师承人员连续跟师学习满三年，经指导老师同意，可以按照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《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传统医学师承和确有专长人员医师资格考核考试办法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》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的相关规定，申请参加传统医学师承出师考核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。考核合格人员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取得《传统医学师承出师证书》后，在中医执业医师指导下，在自治区内医疗机构中试用期满一年并考核合格，可以申请参加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国家中医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执业助理医师资格考试。</w:t>
      </w:r>
    </w:p>
    <w:p>
      <w:pPr>
        <w:widowControl w:val="0"/>
        <w:adjustRightInd/>
        <w:snapToGrid/>
        <w:spacing w:after="0"/>
        <w:ind w:firstLine="603" w:firstLineChars="197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师承人员连续跟师学习满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五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年，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或者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取得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本自治区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《传统医学师承出师证书》，继续跟师学习满两年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对某些病证的诊疗方法独特、技术安全、疗效明显，经指导老师评议合格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，可以按照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《中医医术确有专长人员医师资格考核注册管理暂行办法实施细则》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的相关规定，申请参加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本自治区中医医术确有专长医师资格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考核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。</w:t>
      </w:r>
    </w:p>
    <w:p>
      <w:pPr>
        <w:widowControl w:val="0"/>
        <w:adjustRightInd/>
        <w:snapToGrid/>
        <w:spacing w:after="0"/>
        <w:ind w:firstLine="603" w:firstLineChars="197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《传统医学师承出师证书》不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 w:eastAsia="zh-CN"/>
        </w:rPr>
        <w:t>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GB"/>
        </w:rPr>
        <w:t>作为有效行医证件使用。</w:t>
      </w:r>
    </w:p>
    <w:p>
      <w:pPr>
        <w:widowControl w:val="0"/>
        <w:adjustRightInd/>
        <w:snapToGrid/>
        <w:spacing w:after="0"/>
        <w:ind w:firstLine="603" w:firstLineChars="197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1" w:hanging="431"/>
      </w:pPr>
      <w:rPr>
        <w:rFonts w:hint="eastAsia" w:ascii="宋体" w:hAnsi="宋体" w:eastAsia="黑体" w:cs="宋体"/>
        <w:b w:val="0"/>
        <w:i w:val="0"/>
        <w:sz w:val="44"/>
        <w:szCs w:val="44"/>
        <w:vertAlign w:val="baseline"/>
      </w:rPr>
    </w:lvl>
    <w:lvl w:ilvl="1" w:tentative="0">
      <w:start w:val="1"/>
      <w:numFmt w:val="chineseCountingThousand"/>
      <w:suff w:val="nothing"/>
      <w:lvlText w:val="(%2)"/>
      <w:lvlJc w:val="left"/>
      <w:pPr>
        <w:ind w:left="431" w:hanging="431"/>
      </w:pPr>
      <w:rPr>
        <w:rFonts w:hint="eastAsia" w:ascii="宋体" w:hAnsi="宋体" w:eastAsia="宋体" w:cs="Times New Roman"/>
      </w:rPr>
    </w:lvl>
    <w:lvl w:ilvl="2" w:tentative="0">
      <w:start w:val="1"/>
      <w:numFmt w:val="decimal"/>
      <w:pStyle w:val="2"/>
      <w:suff w:val="nothing"/>
      <w:lvlText w:val="%3."/>
      <w:lvlJc w:val="left"/>
      <w:pPr>
        <w:ind w:left="573" w:hanging="431"/>
      </w:pPr>
      <w:rPr>
        <w:rFonts w:hint="eastAsia" w:cs="Times New Roman"/>
      </w:rPr>
    </w:lvl>
    <w:lvl w:ilvl="3" w:tentative="0">
      <w:start w:val="1"/>
      <w:numFmt w:val="decimal"/>
      <w:suff w:val="nothing"/>
      <w:lvlText w:val="(%4)"/>
      <w:lvlJc w:val="left"/>
      <w:pPr>
        <w:ind w:left="573" w:hanging="431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)"/>
      <w:lvlJc w:val="left"/>
      <w:pPr>
        <w:ind w:left="431" w:hanging="431"/>
      </w:pPr>
      <w:rPr>
        <w:rFonts w:hint="eastAsia" w:cs="Times New Roman"/>
      </w:rPr>
    </w:lvl>
    <w:lvl w:ilvl="5" w:tentative="0">
      <w:start w:val="1"/>
      <w:numFmt w:val="decimal"/>
      <w:suff w:val="nothing"/>
      <w:lvlText w:val="%1.%2.%3.%4.%5.%6"/>
      <w:lvlJc w:val="left"/>
      <w:pPr>
        <w:ind w:left="431" w:hanging="431"/>
      </w:pPr>
      <w:rPr>
        <w:rFonts w:hint="eastAsia" w:cs="Times New Roman"/>
      </w:rPr>
    </w:lvl>
    <w:lvl w:ilvl="6" w:tentative="0">
      <w:start w:val="1"/>
      <w:numFmt w:val="decimal"/>
      <w:lvlText w:val="%7. 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  <w:lvl w:ilvl="7" w:tentative="0">
      <w:start w:val="1"/>
      <w:numFmt w:val="bullet"/>
      <w:lvlText w:val=""/>
      <w:lvlJc w:val="left"/>
      <w:pPr>
        <w:tabs>
          <w:tab w:val="left" w:pos="0"/>
        </w:tabs>
        <w:ind w:left="431" w:hanging="431"/>
      </w:pPr>
      <w:rPr>
        <w:rFonts w:hint="eastAsia" w:ascii="Symbol" w:hAnsi="Symbol"/>
        <w:color w:val="auto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31" w:hanging="431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4CC8"/>
    <w:rsid w:val="003D5C61"/>
    <w:rsid w:val="015A68E8"/>
    <w:rsid w:val="01AC7552"/>
    <w:rsid w:val="02923FAA"/>
    <w:rsid w:val="031E03F4"/>
    <w:rsid w:val="0C156406"/>
    <w:rsid w:val="16BA23DF"/>
    <w:rsid w:val="18133349"/>
    <w:rsid w:val="18226151"/>
    <w:rsid w:val="19814168"/>
    <w:rsid w:val="19C73FE8"/>
    <w:rsid w:val="1DDC3FD7"/>
    <w:rsid w:val="1EDB0DB7"/>
    <w:rsid w:val="25051CDB"/>
    <w:rsid w:val="28E4007B"/>
    <w:rsid w:val="2A9F26AB"/>
    <w:rsid w:val="2BB1079B"/>
    <w:rsid w:val="2CD76EE3"/>
    <w:rsid w:val="303F385F"/>
    <w:rsid w:val="337F04AF"/>
    <w:rsid w:val="33B9365F"/>
    <w:rsid w:val="36A928ED"/>
    <w:rsid w:val="36EA0ABF"/>
    <w:rsid w:val="38017EF1"/>
    <w:rsid w:val="399203C8"/>
    <w:rsid w:val="3B683432"/>
    <w:rsid w:val="3F913DFE"/>
    <w:rsid w:val="417319A9"/>
    <w:rsid w:val="42396B63"/>
    <w:rsid w:val="454424DF"/>
    <w:rsid w:val="463F31E3"/>
    <w:rsid w:val="47BA4BE9"/>
    <w:rsid w:val="486D6F48"/>
    <w:rsid w:val="4B7F20F0"/>
    <w:rsid w:val="4DE51454"/>
    <w:rsid w:val="52DC57FE"/>
    <w:rsid w:val="536804AB"/>
    <w:rsid w:val="56242E63"/>
    <w:rsid w:val="573104A2"/>
    <w:rsid w:val="57CC0F1D"/>
    <w:rsid w:val="5AEC416F"/>
    <w:rsid w:val="5AFF7E65"/>
    <w:rsid w:val="5C1F4876"/>
    <w:rsid w:val="5DD11F46"/>
    <w:rsid w:val="5E8C1779"/>
    <w:rsid w:val="5F3D4127"/>
    <w:rsid w:val="5F9242F5"/>
    <w:rsid w:val="613F3CF1"/>
    <w:rsid w:val="63E05A4E"/>
    <w:rsid w:val="64D24AFB"/>
    <w:rsid w:val="6C011B84"/>
    <w:rsid w:val="6DC72B3D"/>
    <w:rsid w:val="6EC07241"/>
    <w:rsid w:val="75DA7CD8"/>
    <w:rsid w:val="767442F4"/>
    <w:rsid w:val="770C777E"/>
    <w:rsid w:val="7D1A0106"/>
    <w:rsid w:val="7D5C6F74"/>
    <w:rsid w:val="7E522AD0"/>
    <w:rsid w:val="7E5A6E2E"/>
    <w:rsid w:val="7EF56B22"/>
    <w:rsid w:val="7F8065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widowControl w:val="0"/>
      <w:numPr>
        <w:ilvl w:val="2"/>
        <w:numId w:val="1"/>
      </w:numPr>
      <w:snapToGrid w:val="0"/>
      <w:spacing w:beforeLines="20" w:afterLines="20"/>
      <w:jc w:val="both"/>
      <w:outlineLvl w:val="2"/>
    </w:pPr>
    <w:rPr>
      <w:rFonts w:ascii="仿宋" w:hAnsi="仿宋" w:eastAsia="仿宋" w:cs="Times New Roman"/>
      <w:b/>
      <w:color w:val="000000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adjustRightInd/>
      <w:snapToGrid/>
      <w:spacing w:after="0" w:afterLines="0" w:line="360" w:lineRule="atLeast"/>
      <w:jc w:val="center"/>
    </w:pPr>
    <w:rPr>
      <w:rFonts w:ascii="仿宋_GB2312" w:hAnsi="Times New Roman" w:eastAsia="仿宋_GB2312" w:cs="Times New Roman"/>
      <w:color w:val="000000"/>
      <w:kern w:val="2"/>
      <w:sz w:val="20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正文 New New New New New New New New New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牛国璧</cp:lastModifiedBy>
  <cp:lastPrinted>2021-06-24T00:48:00Z</cp:lastPrinted>
  <dcterms:modified xsi:type="dcterms:W3CDTF">2021-08-10T09:27:07Z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