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简体"/>
          <w:sz w:val="44"/>
          <w:szCs w:val="44"/>
        </w:rPr>
      </w:pPr>
      <w:r>
        <w:rPr>
          <w:rFonts w:eastAsia="方正小标宋简体"/>
          <w:sz w:val="44"/>
          <w:szCs w:val="44"/>
        </w:rPr>
        <w:t>浙江省药品安全“十四五”规划</w:t>
      </w:r>
    </w:p>
    <w:p>
      <w:pPr>
        <w:spacing w:line="590" w:lineRule="exact"/>
        <w:ind w:firstLine="640" w:firstLineChars="200"/>
        <w:rPr>
          <w:rFonts w:eastAsia="方正小标宋简体"/>
          <w:szCs w:val="32"/>
        </w:rPr>
      </w:pPr>
    </w:p>
    <w:p>
      <w:pPr>
        <w:spacing w:line="590" w:lineRule="exact"/>
        <w:ind w:firstLine="640" w:firstLineChars="200"/>
        <w:rPr>
          <w:szCs w:val="32"/>
        </w:rPr>
      </w:pPr>
      <w:r>
        <w:rPr>
          <w:szCs w:val="32"/>
        </w:rPr>
        <w:t>人民健康是民族昌盛和国家富强的重要标志。药品安全关系人身健康和生命安全。保障药品（含医疗器械、化妆品）安全是新时代人民群众美好生活的基本需求，是建设新时代全面展示中国特色社会主义制度优越性的“重要窗口”的题中之意，是高质量发展建设共同富裕示范区的重要内涵，是高水平推进社会主义现代化建设的必然要求。为加快推进药品安全治理体系和治理能力现代化，全力保障人民群众用药安全有效可及，助力打造生命健康科创高地，促进医药产业高质量发展，根据国家“十四五”药品安全工作相关要求、《浙江省国民经济和社会发展第十四个五年规划和二</w:t>
      </w:r>
      <w:r>
        <w:rPr>
          <w:rFonts w:hint="eastAsia" w:ascii="仿宋_GB2312"/>
          <w:szCs w:val="32"/>
        </w:rPr>
        <w:t>○</w:t>
      </w:r>
      <w:r>
        <w:rPr>
          <w:szCs w:val="32"/>
        </w:rPr>
        <w:t>三五年远景目标纲要》和省委、省政府有关决策部署，制定《浙江省药品安全“十四五”规划》。</w:t>
      </w:r>
    </w:p>
    <w:p>
      <w:pPr>
        <w:pStyle w:val="2"/>
        <w:keepNext w:val="0"/>
        <w:keepLines w:val="0"/>
        <w:spacing w:before="0" w:after="0" w:line="590" w:lineRule="exact"/>
        <w:ind w:firstLine="640" w:firstLineChars="200"/>
        <w:rPr>
          <w:rFonts w:ascii="黑体" w:hAnsi="黑体" w:eastAsia="黑体"/>
          <w:b w:val="0"/>
          <w:sz w:val="32"/>
          <w:szCs w:val="32"/>
        </w:rPr>
      </w:pPr>
      <w:bookmarkStart w:id="0" w:name="_Toc73266729"/>
      <w:r>
        <w:rPr>
          <w:rFonts w:ascii="黑体" w:hAnsi="黑体" w:eastAsia="黑体"/>
          <w:b w:val="0"/>
          <w:sz w:val="32"/>
          <w:szCs w:val="32"/>
        </w:rPr>
        <w:t>一、发展背景</w:t>
      </w:r>
      <w:bookmarkEnd w:id="0"/>
    </w:p>
    <w:p>
      <w:pPr>
        <w:pStyle w:val="3"/>
        <w:keepNext w:val="0"/>
        <w:keepLines w:val="0"/>
        <w:numPr>
          <w:ilvl w:val="0"/>
          <w:numId w:val="0"/>
        </w:numPr>
        <w:spacing w:line="590" w:lineRule="exact"/>
        <w:ind w:left="640"/>
        <w:rPr>
          <w:rFonts w:ascii="Times New Roman" w:hAnsi="Times New Roman"/>
        </w:rPr>
      </w:pPr>
      <w:bookmarkStart w:id="1" w:name="_Toc73266730"/>
      <w:r>
        <w:rPr>
          <w:rFonts w:ascii="Times New Roman" w:hAnsi="Times New Roman"/>
          <w:bCs w:val="0"/>
        </w:rPr>
        <w:t>（一）“十三五”期间药品安全工作取得显著成效</w:t>
      </w:r>
      <w:bookmarkEnd w:id="1"/>
    </w:p>
    <w:p>
      <w:pPr>
        <w:spacing w:line="590" w:lineRule="exact"/>
        <w:ind w:firstLine="640" w:firstLineChars="200"/>
        <w:rPr>
          <w:b/>
          <w:szCs w:val="32"/>
        </w:rPr>
      </w:pPr>
      <w:r>
        <w:rPr>
          <w:szCs w:val="32"/>
        </w:rPr>
        <w:t>“十三五”期间，我省深入学习贯彻习近平新时代中国特色社会主义思想，按照党中央、国务院和省委、省政府关于药品安全工作的总体部署，落实“四个最严”的要求，以深化改革为牵引，强化监管保安全，优化服务促发展，胜利实现了“十三五”规划确定的目标任务。</w:t>
      </w:r>
    </w:p>
    <w:p>
      <w:pPr>
        <w:spacing w:line="590" w:lineRule="exact"/>
        <w:ind w:firstLine="643" w:firstLineChars="200"/>
        <w:rPr>
          <w:szCs w:val="32"/>
        </w:rPr>
      </w:pPr>
      <w:r>
        <w:rPr>
          <w:b/>
          <w:szCs w:val="32"/>
        </w:rPr>
        <w:t>全省药品安全形势稳定向好</w:t>
      </w:r>
      <w:r>
        <w:rPr>
          <w:szCs w:val="32"/>
        </w:rPr>
        <w:t>。严格防范化解药品安全风险，建立“纵横两向”药品安全风险会商制度，开展风险监测、会商、研判和处置。严格实施从实验室到医院的质量管理规范，落实监督检查、有因核查、飞行检查、专项整治等举措，强化线上抓净网、线下抓清源，构建风险监测数字化、风险管控常态化、风险治理精准化的风险防范化解体系，全省药品医疗器械化妆品质量水平保持稳定。2020年，药品、医疗器械不良反应（事件）报告数分别达1260份/百万人口、265份/百万人口，较2015年分别提高7.1%、44%；化妆品不良反应报告数达90份/百万人口。</w:t>
      </w:r>
    </w:p>
    <w:p>
      <w:pPr>
        <w:spacing w:line="590" w:lineRule="exact"/>
        <w:ind w:firstLine="643" w:firstLineChars="200"/>
        <w:rPr>
          <w:szCs w:val="32"/>
        </w:rPr>
      </w:pPr>
      <w:r>
        <w:rPr>
          <w:b/>
          <w:szCs w:val="32"/>
        </w:rPr>
        <w:t>医药创新生态持续优化</w:t>
      </w:r>
      <w:r>
        <w:rPr>
          <w:szCs w:val="32"/>
        </w:rPr>
        <w:t>。持续深化“放管服”和审评审批制度改革，省级药品监管审批事项100%实现“最多跑一次”，28个事项实现“证照分离”，50个事项实现“全程网办”。全国率先实施药品上市许可持有人制度，率先开展跨省域医疗器械注册人制度试点。大力构建长三角医药创新与监管协作体，常态化开展“三服务”活动，设立医药创新和审评柔性服务站16个。“十三五”期间，新申报药品508个品规，获批上市172个品规，其中创新药6个品规；获批上市创新医疗器械14个，第二类、第三类医疗器械产品数分别达5858个、859个；备案国产非特殊用途化妆品11.8万个，累计达13.7万个，备案进口非特殊用途化妆品3515个；通过仿制药质量和疗效一致性评价93个；全省规模以上医药工业总产值、营业收入、利润总额、出口交货值年均分别增长12.6%、12.0%、21.3%、13.4%，“浙产好药”“浙造器械”“浙江美妆”品牌影响力、美誉度持续提升。</w:t>
      </w:r>
    </w:p>
    <w:p>
      <w:pPr>
        <w:spacing w:line="590" w:lineRule="exact"/>
        <w:ind w:firstLine="643" w:firstLineChars="200"/>
        <w:rPr>
          <w:szCs w:val="32"/>
        </w:rPr>
      </w:pPr>
      <w:r>
        <w:rPr>
          <w:b/>
          <w:szCs w:val="32"/>
        </w:rPr>
        <w:t>药品监管基础不断夯实</w:t>
      </w:r>
      <w:r>
        <w:rPr>
          <w:szCs w:val="32"/>
        </w:rPr>
        <w:t>。开发药品安全风险监测预警防控系统，推进互联网药品净网、三医联动“药+”、检验检测信息共享平台等数字化建设，智慧监管水平明显提升。建成药品安全评价研究中心，启动建设疫苗批签发和高端生物制品检测实验室、医疗器械检测评价与创新服务综合体，建成不良反应（事件）监测哨点医院116家、药物临床试验机构62家、医疗器械临床试验机构50家，创建微生物检测与预警、仿制药评价关键技术、中成药质量评价、化妆品动物替代试验技术、生物医学光学等首批国家药监局重点实验室5个，建设药品监管科学研究基地2家，药品监管技术支撑更加有力。</w:t>
      </w:r>
    </w:p>
    <w:p>
      <w:pPr>
        <w:spacing w:line="590" w:lineRule="exact"/>
        <w:ind w:firstLine="643" w:firstLineChars="200"/>
        <w:rPr>
          <w:szCs w:val="32"/>
        </w:rPr>
      </w:pPr>
      <w:r>
        <w:rPr>
          <w:b/>
          <w:szCs w:val="32"/>
        </w:rPr>
        <w:t>社会共治格局基本构建</w:t>
      </w:r>
      <w:r>
        <w:rPr>
          <w:szCs w:val="32"/>
        </w:rPr>
        <w:t>。扎实推进上山进岛“送药”行动、“网订店送”便民行动等民生实事，2020年公众药品安全满意度达87.8。持续推进药品生产经营企业产品质量安全监管等级评定和</w:t>
      </w:r>
      <w:r>
        <w:rPr>
          <w:spacing w:val="-4"/>
          <w:szCs w:val="32"/>
        </w:rPr>
        <w:t>分类监管，药品安全行政许可、处罚信息100%“双公示”。行业协会自律作用逐步增强。建立药品、医疗器械、化妆品GMP等实训基地50家，推进化妆品“百千万”美丽消费示范工程建设，开展形式多样的药品安全科普宣传，公众药品安全理性认识不断提升。</w:t>
      </w:r>
    </w:p>
    <w:p>
      <w:pPr>
        <w:spacing w:line="590" w:lineRule="exact"/>
        <w:ind w:firstLine="643" w:firstLineChars="200"/>
        <w:rPr>
          <w:szCs w:val="32"/>
        </w:rPr>
      </w:pPr>
      <w:r>
        <w:rPr>
          <w:b/>
          <w:szCs w:val="32"/>
        </w:rPr>
        <w:t>药品监管体制改革持续深化</w:t>
      </w:r>
      <w:r>
        <w:rPr>
          <w:szCs w:val="32"/>
        </w:rPr>
        <w:t>。根据中央和省委深化机构改革的决策部署，考虑到药品监管的特殊性，单独组建省药品监督管理局，夯实技术审评、检验检测、现场检查、稽查执法等监管支撑机构体系，强化药品安全监督管理。落实市县药品安全属地管理责任，省、市、县和基层所四级药品监管工作体系基本形成。全省11个市设立药品检查中心（省药品检查中心分中心），启动职业检查“双百尖兵”工程，省、市两级职业化专业化检查员队伍建设取得突破。</w:t>
      </w:r>
    </w:p>
    <w:p>
      <w:pPr>
        <w:spacing w:line="590" w:lineRule="exact"/>
        <w:ind w:firstLine="640" w:firstLineChars="200"/>
        <w:rPr>
          <w:szCs w:val="32"/>
        </w:rPr>
      </w:pPr>
      <w:r>
        <w:rPr>
          <w:szCs w:val="32"/>
        </w:rPr>
        <w:t>面对突如其来的新冠肺炎疫情，我省强化医疗物资供应、质量安全监管、新药试剂疫苗研发、违法违规打击，开通应急审评、应急科研、应急甄别、应急使用、转产扩产五条通道，成为涵盖“保、治、诊、防”全系列产品的全能省份，为“两手硬、两战赢”提供了有力支撑。</w:t>
      </w:r>
    </w:p>
    <w:p>
      <w:pPr>
        <w:spacing w:line="590" w:lineRule="exact"/>
        <w:ind w:firstLine="640" w:firstLineChars="200"/>
        <w:rPr>
          <w:szCs w:val="32"/>
        </w:rPr>
      </w:pPr>
      <w:r>
        <w:rPr>
          <w:szCs w:val="32"/>
        </w:rPr>
        <w:t>同时，影响药品安全的风险和隐患仍然存在。</w:t>
      </w:r>
      <w:bookmarkStart w:id="2" w:name="_Hlk53968890"/>
      <w:r>
        <w:rPr>
          <w:b/>
          <w:szCs w:val="32"/>
        </w:rPr>
        <w:t>一是</w:t>
      </w:r>
      <w:r>
        <w:rPr>
          <w:szCs w:val="32"/>
        </w:rPr>
        <w:t>药品监管体制机制有待进一步完善。机构改革后，药品安全党政同责落实机制尚不健全，“三医联动”格局尚未完全形成。省级药品监管部门与市县市场监管部门高效协同不够，药品监管与大市场监管的综合集成不足，全过程、全生命周期监管效能不高。</w:t>
      </w:r>
      <w:r>
        <w:rPr>
          <w:b/>
          <w:szCs w:val="32"/>
        </w:rPr>
        <w:t>二是</w:t>
      </w:r>
      <w:r>
        <w:rPr>
          <w:szCs w:val="32"/>
        </w:rPr>
        <w:t>药品安全传统隐患不容忽视，新型风险逐步显现。医药产业规模化、集约化程度偏低，整体创新能力偏弱，行业信用体系仍不完善，主体责任落实不到位。医药新技术、产业新业态、商业新模式带来新型安全风险。</w:t>
      </w:r>
      <w:r>
        <w:rPr>
          <w:b/>
          <w:szCs w:val="32"/>
        </w:rPr>
        <w:t>三是</w:t>
      </w:r>
      <w:r>
        <w:rPr>
          <w:szCs w:val="32"/>
        </w:rPr>
        <w:t>药品安全监管能力不足，治理现代化水平不高。药品监管力量难以满足不断加重的监管任务需要，职业化专业化人才队伍总量不足、结构不优、专业能力不强，部分县级药品监管专业人才匮乏。药品监管制度体系尚不健全，法治基础需进一步夯实。药品监管创新不足，数字化建设应用水平不高，难以支撑药品监管整体智治需求。</w:t>
      </w:r>
      <w:bookmarkEnd w:id="2"/>
      <w:bookmarkStart w:id="3" w:name="_Toc73266731"/>
    </w:p>
    <w:p>
      <w:pPr>
        <w:spacing w:line="590" w:lineRule="exact"/>
        <w:ind w:firstLine="640" w:firstLineChars="200"/>
        <w:rPr>
          <w:rFonts w:eastAsia="楷体_GB2312"/>
          <w:szCs w:val="32"/>
        </w:rPr>
      </w:pPr>
      <w:r>
        <w:rPr>
          <w:rFonts w:eastAsia="楷体_GB2312"/>
          <w:szCs w:val="32"/>
        </w:rPr>
        <w:t>（二）新发展阶段面临的新机遇新挑战</w:t>
      </w:r>
      <w:bookmarkEnd w:id="3"/>
    </w:p>
    <w:p>
      <w:pPr>
        <w:pStyle w:val="10"/>
        <w:spacing w:line="59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国际形势的大变局</w:t>
      </w:r>
      <w:r>
        <w:rPr>
          <w:rFonts w:ascii="Times New Roman" w:hAnsi="Times New Roman" w:eastAsia="仿宋_GB2312" w:cs="Times New Roman"/>
          <w:sz w:val="32"/>
          <w:szCs w:val="32"/>
        </w:rPr>
        <w:t>。疫情防控带来的供应链风险与国际贸易摩擦带来的产业格局调整相互叠加，正在引发世界范围的产业链、供应链、服务链、价值链的重构和转移。这是“十四五”期间统筹发展与安全的首要挑战。要顺应大势、抓牢机遇，助力完善和畅通“双循环”，推动提升医药产业链安全性与稳定性，增强抵御国际环境复杂变化的发展韧性，实现“在危机中育新机、于变局中开新局”。</w:t>
      </w:r>
    </w:p>
    <w:p>
      <w:pPr>
        <w:pStyle w:val="10"/>
        <w:spacing w:line="59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发展水平的新阶段</w:t>
      </w:r>
      <w:r>
        <w:rPr>
          <w:rFonts w:ascii="Times New Roman" w:hAnsi="Times New Roman" w:eastAsia="仿宋_GB2312" w:cs="Times New Roman"/>
          <w:sz w:val="32"/>
          <w:szCs w:val="32"/>
        </w:rPr>
        <w:t>。“十四五”时期是我省开启争创社会主义现代化先行省新征程的第一个五年，是忠实践行“八八战略”、奋力打造“重要窗口”的关键时期。打造生命健康科创高地是我省建设“重要窗口”的标志性成果，是人才强省、创新强省首位战略的首要任务，需要科学高效的监管支持。强大的监管催生强大的产业，强大产业造就强大的监管。要推动思维创新、机制创新和方法创新，辩证统一地处理好监管与发展、安全与有效的关系，推动我省高水平建设生命健康科创高地和医药强省。</w:t>
      </w:r>
    </w:p>
    <w:p>
      <w:pPr>
        <w:pStyle w:val="10"/>
        <w:spacing w:line="59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省域治理的新转变</w:t>
      </w:r>
      <w:r>
        <w:rPr>
          <w:rFonts w:ascii="Times New Roman" w:hAnsi="Times New Roman" w:eastAsia="仿宋_GB2312" w:cs="Times New Roman"/>
          <w:sz w:val="32"/>
          <w:szCs w:val="32"/>
        </w:rPr>
        <w:t>。“十四五”时期，我省省域治理将加快从“事”到“制”和“治”的转变。省域治理现代化要求做到政府有为、市场有效、社会有序，使制度优势转化为治理效能、治理效能转化为发展胜势。药品安全治理体系和治理能力现代化是省域治理现代化的重要组成部分。要聚焦补短板、强弱项，锻长板、扬优</w:t>
      </w:r>
      <w:r>
        <w:rPr>
          <w:rFonts w:ascii="Times New Roman" w:hAnsi="Times New Roman" w:eastAsia="仿宋_GB2312" w:cs="Times New Roman"/>
          <w:spacing w:val="4"/>
          <w:sz w:val="32"/>
          <w:szCs w:val="32"/>
        </w:rPr>
        <w:t>势，把“最多跑一次”改革的理念方法运用到药品安全治理的各方面，牵引带动监管理念创新、制度创新、技术创新、模式创新，不断提高审评审批、检验检测、稽查执法、风险处置、公共服务等能力水平，并将改革实践固化为制度性成果，转化为治理效能。</w:t>
      </w:r>
    </w:p>
    <w:p>
      <w:pPr>
        <w:pStyle w:val="10"/>
        <w:spacing w:line="59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群众需求的新期盼</w:t>
      </w:r>
      <w:r>
        <w:rPr>
          <w:rFonts w:ascii="Times New Roman" w:hAnsi="Times New Roman" w:eastAsia="仿宋_GB2312" w:cs="Times New Roman"/>
          <w:sz w:val="32"/>
          <w:szCs w:val="32"/>
        </w:rPr>
        <w:t>。社会主义现代化是“以人为核心的全面现代化”。要把人民群众对美好生活的向往作为奋斗目标，自觉践行以人民为中心的发展思想，努力回应好新时代人民群众的健康需求、用药需求，解决好人民群众最关心、反映最强烈的问题，切实保障人民群众的生命健康权益，不断增强人民群众的获得感、幸福感、安全感。</w:t>
      </w:r>
    </w:p>
    <w:p>
      <w:pPr>
        <w:pStyle w:val="10"/>
        <w:spacing w:line="59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数字时代的新变革</w:t>
      </w:r>
      <w:r>
        <w:rPr>
          <w:rFonts w:ascii="Times New Roman" w:hAnsi="Times New Roman" w:eastAsia="仿宋_GB2312" w:cs="Times New Roman"/>
          <w:sz w:val="32"/>
          <w:szCs w:val="32"/>
        </w:rPr>
        <w:t>。以人工智能、互联网、大数据为特征的新一轮科技革命和产业变革正在加速演进，将迎来“数字时代的新型现代化”。要不断深化“数字药监”建设，加快药品监管数字化改革，依托云计算、区块链、大数据、物联网等，努力形成即时感知、科学决策、主动服务、高效运行、智能监管的整体智治模式。</w:t>
      </w:r>
    </w:p>
    <w:p>
      <w:pPr>
        <w:pStyle w:val="10"/>
        <w:spacing w:line="59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突发重大公共卫生事件的新考验</w:t>
      </w:r>
      <w:r>
        <w:rPr>
          <w:rFonts w:ascii="Times New Roman" w:hAnsi="Times New Roman" w:eastAsia="仿宋_GB2312" w:cs="Times New Roman"/>
          <w:sz w:val="32"/>
          <w:szCs w:val="32"/>
        </w:rPr>
        <w:t>。突发的新冠肺炎疫情，反映出人类面临的新型疾病风险越来越大，对疫苗、防治药品、诊断试剂、医用防护物资等的质量安全、供应安全提出新要求。要坚持系统谋划，提升应急审评审批、检验检测、现场检查等能力，实现突发重大公共卫生事件应对处置能力的迭代升级。</w:t>
      </w:r>
    </w:p>
    <w:p>
      <w:pPr>
        <w:pStyle w:val="2"/>
        <w:keepNext w:val="0"/>
        <w:keepLines w:val="0"/>
        <w:spacing w:before="0" w:after="0" w:line="590" w:lineRule="exact"/>
        <w:ind w:firstLine="640" w:firstLineChars="200"/>
        <w:rPr>
          <w:rFonts w:ascii="黑体" w:hAnsi="黑体" w:eastAsia="黑体"/>
          <w:b w:val="0"/>
          <w:sz w:val="32"/>
          <w:szCs w:val="32"/>
        </w:rPr>
      </w:pPr>
      <w:bookmarkStart w:id="4" w:name="_Toc73266732"/>
      <w:r>
        <w:rPr>
          <w:rFonts w:ascii="黑体" w:hAnsi="黑体" w:eastAsia="黑体"/>
          <w:b w:val="0"/>
          <w:sz w:val="32"/>
          <w:szCs w:val="32"/>
        </w:rPr>
        <w:t>二、总体要求</w:t>
      </w:r>
      <w:bookmarkEnd w:id="4"/>
    </w:p>
    <w:p>
      <w:pPr>
        <w:pStyle w:val="3"/>
        <w:keepNext w:val="0"/>
        <w:keepLines w:val="0"/>
        <w:numPr>
          <w:ilvl w:val="0"/>
          <w:numId w:val="0"/>
        </w:numPr>
        <w:spacing w:line="590" w:lineRule="exact"/>
        <w:ind w:left="643"/>
        <w:rPr>
          <w:rFonts w:ascii="Times New Roman" w:hAnsi="Times New Roman"/>
        </w:rPr>
      </w:pPr>
      <w:bookmarkStart w:id="5" w:name="_Toc73266733"/>
      <w:r>
        <w:rPr>
          <w:rFonts w:ascii="Times New Roman" w:hAnsi="Times New Roman"/>
          <w:bCs w:val="0"/>
        </w:rPr>
        <w:t>（一）指导思想</w:t>
      </w:r>
      <w:bookmarkEnd w:id="5"/>
    </w:p>
    <w:p>
      <w:pPr>
        <w:spacing w:line="590" w:lineRule="exact"/>
        <w:ind w:firstLine="640" w:firstLineChars="200"/>
        <w:rPr>
          <w:szCs w:val="32"/>
        </w:rPr>
      </w:pPr>
      <w:r>
        <w:rPr>
          <w:szCs w:val="32"/>
        </w:rPr>
        <w:t>坚持以习近平新时代中国特色社会主义思想为指导，深入贯彻党的十九大和十九届二中、三中、四中、五中全会精神及省委、省政府决策部署，牢固树立</w:t>
      </w:r>
      <w:bookmarkStart w:id="6" w:name="_Hlk72916779"/>
      <w:r>
        <w:rPr>
          <w:szCs w:val="32"/>
        </w:rPr>
        <w:t>以人民为中心的发展思想和安全发展理念</w:t>
      </w:r>
      <w:bookmarkEnd w:id="6"/>
      <w:r>
        <w:rPr>
          <w:szCs w:val="32"/>
        </w:rPr>
        <w:t>，紧扣忠实践行“八八战略”、奋力打造“重要窗口”主题主线和社会主义现代化先行省、共同富裕示范区总目标，落实“四个最严”总要求，围绕“四高地两区一家园”建设，践行“整体智治、唯实惟先”现代政府理念，统筹安全监管和创新发展，以“保安全、促发展、争一流”为导向，以数字赋能、协同智治为动力，以“高水平安全”助推“高质量发展”为路径，深化药品安全监管体制机制改革，实施药品医疗器械化妆品质量品牌提升工程，强化系统治理、依法治理、综合治理、源头治理，保障人民群众用药安全有效可及，助力打造生命健康科创高地，省域药品安全治理现代化和医药产业高质量发展持续走在全国前列。</w:t>
      </w:r>
    </w:p>
    <w:p>
      <w:pPr>
        <w:pStyle w:val="3"/>
        <w:keepNext w:val="0"/>
        <w:keepLines w:val="0"/>
        <w:numPr>
          <w:ilvl w:val="0"/>
          <w:numId w:val="0"/>
        </w:numPr>
        <w:spacing w:line="590" w:lineRule="exact"/>
        <w:ind w:left="643"/>
        <w:rPr>
          <w:rFonts w:ascii="Times New Roman" w:hAnsi="Times New Roman"/>
        </w:rPr>
      </w:pPr>
      <w:bookmarkStart w:id="7" w:name="_Toc73266734"/>
      <w:r>
        <w:rPr>
          <w:rFonts w:ascii="Times New Roman" w:hAnsi="Times New Roman"/>
          <w:bCs w:val="0"/>
        </w:rPr>
        <w:t>（二）基本原则</w:t>
      </w:r>
      <w:bookmarkEnd w:id="7"/>
    </w:p>
    <w:p>
      <w:pPr>
        <w:spacing w:line="590" w:lineRule="exact"/>
        <w:ind w:firstLine="640" w:firstLineChars="200"/>
        <w:rPr>
          <w:szCs w:val="32"/>
        </w:rPr>
      </w:pPr>
      <w:r>
        <w:rPr>
          <w:szCs w:val="32"/>
        </w:rPr>
        <w:t>药品安全工作要遵循以下原则：</w:t>
      </w:r>
    </w:p>
    <w:p>
      <w:pPr>
        <w:spacing w:line="590" w:lineRule="exact"/>
        <w:ind w:firstLine="643" w:firstLineChars="200"/>
        <w:rPr>
          <w:szCs w:val="32"/>
        </w:rPr>
      </w:pPr>
      <w:r>
        <w:rPr>
          <w:b/>
          <w:szCs w:val="32"/>
        </w:rPr>
        <w:t>——坚持党的全面领导</w:t>
      </w:r>
      <w:r>
        <w:rPr>
          <w:szCs w:val="32"/>
        </w:rPr>
        <w:t>。进一步彰显药品安全工作的政治属</w:t>
      </w:r>
      <w:r>
        <w:rPr>
          <w:spacing w:val="4"/>
          <w:szCs w:val="32"/>
        </w:rPr>
        <w:t>性，坚持和完善党对药品安全工作的全面领导，把党的领导贯穿药品安全工作全过程，为推进药品安全事业改革发展提供根本保障。</w:t>
      </w:r>
    </w:p>
    <w:p>
      <w:pPr>
        <w:spacing w:line="590" w:lineRule="exact"/>
        <w:ind w:firstLine="643" w:firstLineChars="200"/>
        <w:rPr>
          <w:szCs w:val="32"/>
        </w:rPr>
      </w:pPr>
      <w:r>
        <w:rPr>
          <w:b/>
          <w:szCs w:val="32"/>
        </w:rPr>
        <w:t>——坚持以人民为中心</w:t>
      </w:r>
      <w:r>
        <w:rPr>
          <w:szCs w:val="32"/>
        </w:rPr>
        <w:t>。立足满足人民美好生活需要，把保护和促进公众健康作为一切工作的出发点和落脚点，把守好药品安全底线作为首要职责，推动药品安全事业融入全方位全周期健康服务，让人民群众获得感、幸福感、安全感更加充实、更有保障、更可持续。</w:t>
      </w:r>
    </w:p>
    <w:p>
      <w:pPr>
        <w:spacing w:line="590" w:lineRule="exact"/>
        <w:ind w:firstLine="643" w:firstLineChars="200"/>
        <w:rPr>
          <w:szCs w:val="32"/>
        </w:rPr>
      </w:pPr>
      <w:r>
        <w:rPr>
          <w:b/>
          <w:szCs w:val="32"/>
        </w:rPr>
        <w:t>——坚持统筹安全与发展</w:t>
      </w:r>
      <w:r>
        <w:rPr>
          <w:szCs w:val="32"/>
        </w:rPr>
        <w:t>。安全是发展的前提，发展是安全的保障。离开安全的发展是危险的，离开发展的安全是无意义的。坚持把统筹安全监管与创新发展作为药品监管工作主基调，努力以行业高水平安全推动医药产业高质量发展。</w:t>
      </w:r>
    </w:p>
    <w:p>
      <w:pPr>
        <w:spacing w:line="590" w:lineRule="exact"/>
        <w:ind w:firstLine="643" w:firstLineChars="200"/>
        <w:rPr>
          <w:szCs w:val="32"/>
        </w:rPr>
      </w:pPr>
      <w:r>
        <w:rPr>
          <w:b/>
          <w:szCs w:val="32"/>
        </w:rPr>
        <w:t>——坚持风险管理、社会共治</w:t>
      </w:r>
      <w:r>
        <w:rPr>
          <w:szCs w:val="32"/>
        </w:rPr>
        <w:t>。突出药品安全工作的特殊性、专业性，深化体制机制改革，提升专业能力，强化全监管环节、</w:t>
      </w:r>
      <w:r>
        <w:rPr>
          <w:spacing w:val="4"/>
          <w:szCs w:val="32"/>
        </w:rPr>
        <w:t>全产业链条、全生命周期的风险管理。抓牢“牵一发动全身”、具有乘数效应的关键环节，完善药品安全责任体系，构建省市县一体、部门间协作、政企社联动、共建共治共享的药品安全治理体系。</w:t>
      </w:r>
    </w:p>
    <w:p>
      <w:pPr>
        <w:spacing w:line="590" w:lineRule="exact"/>
        <w:ind w:firstLine="643" w:firstLineChars="200"/>
        <w:rPr>
          <w:szCs w:val="32"/>
        </w:rPr>
      </w:pPr>
      <w:r>
        <w:rPr>
          <w:b/>
          <w:szCs w:val="32"/>
        </w:rPr>
        <w:t>——坚持整体智治、全程管控</w:t>
      </w:r>
      <w:r>
        <w:rPr>
          <w:szCs w:val="32"/>
        </w:rPr>
        <w:t>。强化数字赋能，深化重点领域“一件事”改革，构建事权清晰、权责一致、统一规范、互联互动的药品安全工作机制，打通审评、审批、检查、检验、监测、稽查、信息公开等环节，建立上下游信息可查询、过程可控制、责任可追究的追溯体系。</w:t>
      </w:r>
    </w:p>
    <w:p>
      <w:pPr>
        <w:spacing w:line="590" w:lineRule="exact"/>
        <w:ind w:firstLine="643" w:firstLineChars="200"/>
        <w:rPr>
          <w:szCs w:val="32"/>
        </w:rPr>
      </w:pPr>
      <w:r>
        <w:rPr>
          <w:b/>
          <w:szCs w:val="32"/>
        </w:rPr>
        <w:t>——坚持系统联动、闭环管理</w:t>
      </w:r>
      <w:r>
        <w:rPr>
          <w:szCs w:val="32"/>
        </w:rPr>
        <w:t>。培育以“唯实惟先、善作善成”为核心的现代药监团队文化，发挥大市场监管体制的综合优势，强化省市县三级协同，扎紧风险防范化解的管控闭环，共同担当保障公众用药安全、保护和促进公众健康的光荣使命。</w:t>
      </w:r>
    </w:p>
    <w:p>
      <w:pPr>
        <w:pStyle w:val="3"/>
        <w:keepNext w:val="0"/>
        <w:keepLines w:val="0"/>
        <w:numPr>
          <w:ilvl w:val="0"/>
          <w:numId w:val="0"/>
        </w:numPr>
        <w:spacing w:line="590" w:lineRule="exact"/>
        <w:ind w:left="643"/>
        <w:rPr>
          <w:rFonts w:ascii="Times New Roman" w:hAnsi="Times New Roman"/>
          <w:bCs w:val="0"/>
        </w:rPr>
      </w:pPr>
      <w:bookmarkStart w:id="8" w:name="_Toc73266735"/>
      <w:r>
        <w:rPr>
          <w:rFonts w:ascii="Times New Roman" w:hAnsi="Times New Roman"/>
          <w:bCs w:val="0"/>
        </w:rPr>
        <w:t>（三）二</w:t>
      </w:r>
      <w:r>
        <w:rPr>
          <w:rFonts w:hint="eastAsia" w:ascii="楷体_GB2312" w:hAnsi="Times New Roman"/>
          <w:bCs w:val="0"/>
        </w:rPr>
        <w:t>○</w:t>
      </w:r>
      <w:r>
        <w:rPr>
          <w:rFonts w:ascii="Times New Roman" w:hAnsi="Times New Roman"/>
          <w:bCs w:val="0"/>
        </w:rPr>
        <w:t>三五年远景目标</w:t>
      </w:r>
      <w:bookmarkEnd w:id="8"/>
    </w:p>
    <w:p>
      <w:pPr>
        <w:spacing w:line="590" w:lineRule="exact"/>
        <w:ind w:firstLine="640" w:firstLineChars="200"/>
        <w:rPr>
          <w:szCs w:val="32"/>
        </w:rPr>
      </w:pPr>
      <w:r>
        <w:rPr>
          <w:szCs w:val="32"/>
        </w:rPr>
        <w:t>展望2035年，基本实现省域药品安全治理现代化，高水平建成药品安全“整体智治”体系，科学监管能力和整体安全水平达到国际先进行列，人民群众用药需求得到有效满足；助推医药产业高质量发展迈上新的大台阶，医药科技创新支撑能力显著增强，研发创新能力达到发达经济体水平，建成高水平的医药创新“雨林”生态，形成生物医药、创新药、原料药、医疗器械、化妆品协同发展的先进产业基地，发展规模和质量效益进入全国领先方阵，成为产业高质量发展、行业高水平安全的标杆区。</w:t>
      </w:r>
    </w:p>
    <w:p>
      <w:pPr>
        <w:pStyle w:val="3"/>
        <w:keepNext w:val="0"/>
        <w:keepLines w:val="0"/>
        <w:numPr>
          <w:ilvl w:val="0"/>
          <w:numId w:val="0"/>
        </w:numPr>
        <w:spacing w:line="590" w:lineRule="exact"/>
        <w:ind w:left="643"/>
        <w:rPr>
          <w:rFonts w:ascii="Times New Roman" w:hAnsi="Times New Roman"/>
          <w:bCs w:val="0"/>
        </w:rPr>
      </w:pPr>
      <w:bookmarkStart w:id="9" w:name="_Toc73266736"/>
      <w:r>
        <w:rPr>
          <w:rFonts w:ascii="Times New Roman" w:hAnsi="Times New Roman"/>
          <w:bCs w:val="0"/>
        </w:rPr>
        <w:t>（四）“十四五”药品安全工作的主要目标</w:t>
      </w:r>
      <w:bookmarkEnd w:id="9"/>
    </w:p>
    <w:p>
      <w:pPr>
        <w:spacing w:line="590" w:lineRule="exact"/>
        <w:ind w:firstLine="640" w:firstLineChars="200"/>
        <w:rPr>
          <w:rFonts w:eastAsia="黑体"/>
          <w:szCs w:val="32"/>
        </w:rPr>
      </w:pPr>
      <w:r>
        <w:rPr>
          <w:szCs w:val="32"/>
        </w:rPr>
        <w:t>到2025年，建成</w:t>
      </w:r>
      <w:bookmarkStart w:id="10" w:name="_Hlk60182312"/>
      <w:r>
        <w:rPr>
          <w:szCs w:val="32"/>
        </w:rPr>
        <w:t>全国药品安全示范省</w:t>
      </w:r>
      <w:bookmarkEnd w:id="10"/>
      <w:r>
        <w:rPr>
          <w:szCs w:val="32"/>
        </w:rPr>
        <w:t>、科学监管样板区、医药创新先行区。药品监管体制机制进一步健全，以数字化治理为支撑的全过程、全链条、全生命周期监管体系有效建立，药品安全治理现代化水平显著提升，</w:t>
      </w:r>
      <w:r>
        <w:rPr>
          <w:b/>
          <w:bCs/>
          <w:szCs w:val="32"/>
        </w:rPr>
        <w:t>保障高水平安全</w:t>
      </w:r>
      <w:r>
        <w:rPr>
          <w:szCs w:val="32"/>
        </w:rPr>
        <w:t>；生命健康科创支撑能力进一步增强，赋能医药产业整体素质和核心竞争力明显提升，</w:t>
      </w:r>
      <w:r>
        <w:rPr>
          <w:b/>
          <w:bCs/>
          <w:szCs w:val="32"/>
        </w:rPr>
        <w:t>助力高质量发展</w:t>
      </w:r>
      <w:r>
        <w:rPr>
          <w:szCs w:val="32"/>
        </w:rPr>
        <w:t>；省域药品安全状况持续稳定向好，人民群众药品安全的获得感、满意度持续提升，</w:t>
      </w:r>
      <w:r>
        <w:rPr>
          <w:b/>
          <w:bCs/>
          <w:szCs w:val="32"/>
        </w:rPr>
        <w:t>共创高品质生活</w:t>
      </w:r>
      <w:r>
        <w:rPr>
          <w:szCs w:val="32"/>
        </w:rPr>
        <w:t>。</w:t>
      </w:r>
    </w:p>
    <w:p>
      <w:pPr>
        <w:pStyle w:val="4"/>
        <w:keepNext w:val="0"/>
        <w:keepLines w:val="0"/>
        <w:spacing w:before="240" w:beforeLines="100" w:after="240" w:afterLines="100" w:line="360" w:lineRule="exact"/>
        <w:jc w:val="center"/>
        <w:rPr>
          <w:rFonts w:eastAsia="黑体"/>
          <w:b w:val="0"/>
          <w:bCs w:val="0"/>
          <w:sz w:val="28"/>
          <w:szCs w:val="28"/>
        </w:rPr>
      </w:pPr>
      <w:bookmarkStart w:id="11" w:name="_Hlk72446679"/>
      <w:r>
        <w:rPr>
          <w:rFonts w:eastAsia="黑体"/>
          <w:b w:val="0"/>
          <w:bCs w:val="0"/>
          <w:sz w:val="28"/>
          <w:szCs w:val="28"/>
        </w:rPr>
        <w:t>“十四五”时期药品安全主要指标</w:t>
      </w:r>
    </w:p>
    <w:bookmarkEnd w:id="11"/>
    <w:tbl>
      <w:tblPr>
        <w:tblStyle w:val="9"/>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552"/>
        <w:gridCol w:w="2180"/>
        <w:gridCol w:w="1076"/>
        <w:gridCol w:w="1695"/>
        <w:gridCol w:w="1159"/>
        <w:gridCol w:w="1159"/>
        <w:gridCol w:w="10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tblHeader/>
          <w:jc w:val="center"/>
        </w:trPr>
        <w:tc>
          <w:tcPr>
            <w:tcW w:w="552" w:type="dxa"/>
            <w:vAlign w:val="center"/>
          </w:tcPr>
          <w:p>
            <w:pPr>
              <w:jc w:val="center"/>
              <w:rPr>
                <w:rFonts w:eastAsia="黑体"/>
                <w:kern w:val="0"/>
                <w:sz w:val="24"/>
              </w:rPr>
            </w:pPr>
            <w:r>
              <w:rPr>
                <w:rFonts w:eastAsia="黑体"/>
                <w:kern w:val="0"/>
                <w:sz w:val="24"/>
              </w:rPr>
              <w:t>序号</w:t>
            </w:r>
          </w:p>
        </w:tc>
        <w:tc>
          <w:tcPr>
            <w:tcW w:w="2180" w:type="dxa"/>
            <w:vAlign w:val="center"/>
          </w:tcPr>
          <w:p>
            <w:pPr>
              <w:jc w:val="center"/>
              <w:rPr>
                <w:rFonts w:eastAsia="黑体"/>
                <w:kern w:val="0"/>
                <w:sz w:val="24"/>
              </w:rPr>
            </w:pPr>
            <w:r>
              <w:rPr>
                <w:rFonts w:eastAsia="黑体"/>
                <w:kern w:val="0"/>
                <w:sz w:val="24"/>
              </w:rPr>
              <w:t>指</w:t>
            </w:r>
            <w:r>
              <w:rPr>
                <w:rFonts w:hint="eastAsia" w:eastAsia="黑体"/>
                <w:kern w:val="0"/>
                <w:sz w:val="24"/>
              </w:rPr>
              <w:t xml:space="preserve">  </w:t>
            </w:r>
            <w:r>
              <w:rPr>
                <w:rFonts w:eastAsia="黑体"/>
                <w:kern w:val="0"/>
                <w:sz w:val="24"/>
              </w:rPr>
              <w:t>标</w:t>
            </w:r>
          </w:p>
        </w:tc>
        <w:tc>
          <w:tcPr>
            <w:tcW w:w="1076" w:type="dxa"/>
            <w:vAlign w:val="center"/>
          </w:tcPr>
          <w:p>
            <w:pPr>
              <w:jc w:val="center"/>
              <w:rPr>
                <w:rFonts w:eastAsia="黑体"/>
                <w:kern w:val="0"/>
                <w:sz w:val="24"/>
              </w:rPr>
            </w:pPr>
            <w:r>
              <w:rPr>
                <w:rFonts w:eastAsia="黑体"/>
                <w:kern w:val="0"/>
                <w:sz w:val="24"/>
              </w:rPr>
              <w:t>单位</w:t>
            </w:r>
          </w:p>
        </w:tc>
        <w:tc>
          <w:tcPr>
            <w:tcW w:w="1695" w:type="dxa"/>
            <w:vAlign w:val="center"/>
          </w:tcPr>
          <w:p>
            <w:pPr>
              <w:jc w:val="center"/>
              <w:rPr>
                <w:rFonts w:eastAsia="黑体"/>
                <w:kern w:val="0"/>
                <w:sz w:val="24"/>
              </w:rPr>
            </w:pPr>
            <w:r>
              <w:rPr>
                <w:rFonts w:eastAsia="黑体"/>
                <w:kern w:val="0"/>
                <w:sz w:val="24"/>
              </w:rPr>
              <w:t>2020年</w:t>
            </w:r>
          </w:p>
        </w:tc>
        <w:tc>
          <w:tcPr>
            <w:tcW w:w="1159" w:type="dxa"/>
            <w:vAlign w:val="center"/>
          </w:tcPr>
          <w:p>
            <w:pPr>
              <w:jc w:val="center"/>
              <w:rPr>
                <w:rFonts w:eastAsia="黑体"/>
                <w:kern w:val="0"/>
                <w:sz w:val="24"/>
              </w:rPr>
            </w:pPr>
            <w:r>
              <w:rPr>
                <w:rFonts w:eastAsia="黑体"/>
                <w:kern w:val="0"/>
                <w:sz w:val="24"/>
              </w:rPr>
              <w:t>2023年</w:t>
            </w:r>
          </w:p>
        </w:tc>
        <w:tc>
          <w:tcPr>
            <w:tcW w:w="1159" w:type="dxa"/>
            <w:vAlign w:val="center"/>
          </w:tcPr>
          <w:p>
            <w:pPr>
              <w:jc w:val="center"/>
              <w:rPr>
                <w:rFonts w:eastAsia="黑体"/>
                <w:kern w:val="0"/>
                <w:sz w:val="24"/>
              </w:rPr>
            </w:pPr>
            <w:r>
              <w:rPr>
                <w:rFonts w:eastAsia="黑体"/>
                <w:kern w:val="0"/>
                <w:sz w:val="24"/>
              </w:rPr>
              <w:t>2025年</w:t>
            </w:r>
          </w:p>
        </w:tc>
        <w:tc>
          <w:tcPr>
            <w:tcW w:w="1024" w:type="dxa"/>
            <w:vAlign w:val="center"/>
          </w:tcPr>
          <w:p>
            <w:pPr>
              <w:jc w:val="center"/>
              <w:rPr>
                <w:rFonts w:eastAsia="黑体"/>
                <w:kern w:val="0"/>
                <w:sz w:val="24"/>
              </w:rPr>
            </w:pPr>
            <w:r>
              <w:rPr>
                <w:rFonts w:eastAsia="黑体"/>
                <w:kern w:val="0"/>
                <w:sz w:val="24"/>
              </w:rPr>
              <w:t>属性</w:t>
            </w:r>
          </w:p>
        </w:tc>
      </w:tr>
      <w:tr>
        <w:tblPrEx>
          <w:tblLayout w:type="fixed"/>
        </w:tblPrEx>
        <w:trPr>
          <w:cantSplit/>
          <w:trHeight w:val="719" w:hRule="atLeast"/>
          <w:jc w:val="center"/>
        </w:trPr>
        <w:tc>
          <w:tcPr>
            <w:tcW w:w="552" w:type="dxa"/>
            <w:vAlign w:val="center"/>
          </w:tcPr>
          <w:p>
            <w:pPr>
              <w:jc w:val="center"/>
              <w:rPr>
                <w:kern w:val="0"/>
                <w:sz w:val="24"/>
              </w:rPr>
            </w:pPr>
            <w:r>
              <w:rPr>
                <w:kern w:val="0"/>
                <w:sz w:val="24"/>
              </w:rPr>
              <w:t>1</w:t>
            </w:r>
          </w:p>
        </w:tc>
        <w:tc>
          <w:tcPr>
            <w:tcW w:w="2180" w:type="dxa"/>
            <w:vAlign w:val="center"/>
          </w:tcPr>
          <w:p>
            <w:pPr>
              <w:rPr>
                <w:kern w:val="0"/>
                <w:sz w:val="24"/>
              </w:rPr>
            </w:pPr>
            <w:r>
              <w:rPr>
                <w:kern w:val="0"/>
                <w:sz w:val="24"/>
              </w:rPr>
              <w:t>药品重点产品追溯落实率</w:t>
            </w:r>
          </w:p>
        </w:tc>
        <w:tc>
          <w:tcPr>
            <w:tcW w:w="1076" w:type="dxa"/>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w:t>
            </w:r>
          </w:p>
        </w:tc>
        <w:tc>
          <w:tcPr>
            <w:tcW w:w="1159" w:type="dxa"/>
            <w:vAlign w:val="center"/>
          </w:tcPr>
          <w:p>
            <w:pPr>
              <w:jc w:val="center"/>
              <w:rPr>
                <w:kern w:val="0"/>
                <w:sz w:val="24"/>
              </w:rPr>
            </w:pPr>
            <w:r>
              <w:rPr>
                <w:kern w:val="0"/>
                <w:sz w:val="24"/>
              </w:rPr>
              <w:t>100</w:t>
            </w:r>
          </w:p>
        </w:tc>
        <w:tc>
          <w:tcPr>
            <w:tcW w:w="1159" w:type="dxa"/>
            <w:vAlign w:val="center"/>
          </w:tcPr>
          <w:p>
            <w:pPr>
              <w:jc w:val="center"/>
              <w:rPr>
                <w:kern w:val="0"/>
                <w:sz w:val="24"/>
              </w:rPr>
            </w:pPr>
            <w:r>
              <w:rPr>
                <w:kern w:val="0"/>
                <w:sz w:val="24"/>
              </w:rPr>
              <w:t>100</w:t>
            </w:r>
          </w:p>
        </w:tc>
        <w:tc>
          <w:tcPr>
            <w:tcW w:w="1024"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2</w:t>
            </w:r>
          </w:p>
        </w:tc>
        <w:tc>
          <w:tcPr>
            <w:tcW w:w="2180" w:type="dxa"/>
            <w:vAlign w:val="center"/>
          </w:tcPr>
          <w:p>
            <w:pPr>
              <w:rPr>
                <w:kern w:val="0"/>
                <w:sz w:val="24"/>
              </w:rPr>
            </w:pPr>
            <w:r>
              <w:rPr>
                <w:kern w:val="0"/>
                <w:sz w:val="24"/>
              </w:rPr>
              <w:t>医疗器械唯一标识制度实施率</w:t>
            </w:r>
          </w:p>
        </w:tc>
        <w:tc>
          <w:tcPr>
            <w:tcW w:w="1076" w:type="dxa"/>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w:t>
            </w:r>
          </w:p>
        </w:tc>
        <w:tc>
          <w:tcPr>
            <w:tcW w:w="1159" w:type="dxa"/>
            <w:vAlign w:val="center"/>
          </w:tcPr>
          <w:p>
            <w:pPr>
              <w:jc w:val="center"/>
              <w:rPr>
                <w:kern w:val="0"/>
                <w:sz w:val="24"/>
              </w:rPr>
            </w:pPr>
            <w:r>
              <w:rPr>
                <w:kern w:val="0"/>
                <w:sz w:val="24"/>
              </w:rPr>
              <w:t>100</w:t>
            </w:r>
          </w:p>
        </w:tc>
        <w:tc>
          <w:tcPr>
            <w:tcW w:w="1159" w:type="dxa"/>
            <w:vAlign w:val="center"/>
          </w:tcPr>
          <w:p>
            <w:pPr>
              <w:jc w:val="center"/>
              <w:rPr>
                <w:kern w:val="0"/>
                <w:sz w:val="24"/>
              </w:rPr>
            </w:pPr>
            <w:r>
              <w:rPr>
                <w:kern w:val="0"/>
                <w:sz w:val="24"/>
              </w:rPr>
              <w:t>100</w:t>
            </w:r>
          </w:p>
        </w:tc>
        <w:tc>
          <w:tcPr>
            <w:tcW w:w="1024" w:type="dxa"/>
            <w:vAlign w:val="center"/>
          </w:tcPr>
          <w:p>
            <w:pPr>
              <w:jc w:val="center"/>
              <w:rPr>
                <w:kern w:val="0"/>
                <w:sz w:val="24"/>
              </w:rPr>
            </w:pPr>
            <w:r>
              <w:rPr>
                <w:kern w:val="0"/>
                <w:sz w:val="24"/>
              </w:rPr>
              <w:t>预期性</w:t>
            </w:r>
          </w:p>
        </w:tc>
      </w:tr>
      <w:tr>
        <w:tblPrEx>
          <w:tblLayout w:type="fixed"/>
        </w:tblPrEx>
        <w:trPr>
          <w:cantSplit/>
          <w:trHeight w:val="482" w:hRule="atLeast"/>
          <w:jc w:val="center"/>
        </w:trPr>
        <w:tc>
          <w:tcPr>
            <w:tcW w:w="552" w:type="dxa"/>
            <w:vAlign w:val="center"/>
          </w:tcPr>
          <w:p>
            <w:pPr>
              <w:jc w:val="center"/>
              <w:rPr>
                <w:kern w:val="0"/>
                <w:sz w:val="24"/>
              </w:rPr>
            </w:pPr>
            <w:r>
              <w:rPr>
                <w:kern w:val="0"/>
                <w:sz w:val="24"/>
              </w:rPr>
              <w:t>3</w:t>
            </w:r>
          </w:p>
        </w:tc>
        <w:tc>
          <w:tcPr>
            <w:tcW w:w="2180" w:type="dxa"/>
            <w:vAlign w:val="center"/>
          </w:tcPr>
          <w:p>
            <w:pPr>
              <w:rPr>
                <w:kern w:val="0"/>
                <w:sz w:val="24"/>
              </w:rPr>
            </w:pPr>
            <w:r>
              <w:rPr>
                <w:kern w:val="0"/>
                <w:sz w:val="24"/>
              </w:rPr>
              <w:t>专职检查员中专业学历背景人员占比</w:t>
            </w:r>
          </w:p>
        </w:tc>
        <w:tc>
          <w:tcPr>
            <w:tcW w:w="1076" w:type="dxa"/>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w:t>
            </w:r>
          </w:p>
        </w:tc>
        <w:tc>
          <w:tcPr>
            <w:tcW w:w="1159" w:type="dxa"/>
            <w:vAlign w:val="center"/>
          </w:tcPr>
          <w:p>
            <w:pPr>
              <w:jc w:val="center"/>
              <w:rPr>
                <w:kern w:val="0"/>
                <w:sz w:val="24"/>
              </w:rPr>
            </w:pPr>
            <w:r>
              <w:rPr>
                <w:kern w:val="0"/>
                <w:sz w:val="24"/>
              </w:rPr>
              <w:t>70</w:t>
            </w:r>
          </w:p>
        </w:tc>
        <w:tc>
          <w:tcPr>
            <w:tcW w:w="1159" w:type="dxa"/>
            <w:vAlign w:val="center"/>
          </w:tcPr>
          <w:p>
            <w:pPr>
              <w:jc w:val="center"/>
              <w:rPr>
                <w:kern w:val="0"/>
                <w:sz w:val="24"/>
              </w:rPr>
            </w:pPr>
            <w:r>
              <w:rPr>
                <w:kern w:val="0"/>
                <w:sz w:val="24"/>
              </w:rPr>
              <w:t>80以上</w:t>
            </w:r>
          </w:p>
        </w:tc>
        <w:tc>
          <w:tcPr>
            <w:tcW w:w="1024"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Merge w:val="restart"/>
            <w:vAlign w:val="center"/>
          </w:tcPr>
          <w:p>
            <w:pPr>
              <w:jc w:val="center"/>
              <w:rPr>
                <w:kern w:val="0"/>
                <w:sz w:val="24"/>
              </w:rPr>
            </w:pPr>
            <w:r>
              <w:rPr>
                <w:kern w:val="0"/>
                <w:sz w:val="24"/>
              </w:rPr>
              <w:t>4</w:t>
            </w:r>
          </w:p>
        </w:tc>
        <w:tc>
          <w:tcPr>
            <w:tcW w:w="2180" w:type="dxa"/>
            <w:vMerge w:val="restart"/>
            <w:vAlign w:val="center"/>
          </w:tcPr>
          <w:p>
            <w:pPr>
              <w:rPr>
                <w:kern w:val="0"/>
                <w:sz w:val="24"/>
              </w:rPr>
            </w:pPr>
            <w:r>
              <w:rPr>
                <w:kern w:val="0"/>
                <w:sz w:val="24"/>
              </w:rPr>
              <w:t>药品检验检测能力达标</w:t>
            </w:r>
          </w:p>
        </w:tc>
        <w:tc>
          <w:tcPr>
            <w:tcW w:w="1076" w:type="dxa"/>
            <w:vMerge w:val="restart"/>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C（省）</w:t>
            </w:r>
          </w:p>
        </w:tc>
        <w:tc>
          <w:tcPr>
            <w:tcW w:w="1159" w:type="dxa"/>
            <w:vAlign w:val="center"/>
          </w:tcPr>
          <w:p>
            <w:pPr>
              <w:jc w:val="center"/>
              <w:rPr>
                <w:kern w:val="0"/>
                <w:sz w:val="24"/>
              </w:rPr>
            </w:pPr>
            <w:r>
              <w:rPr>
                <w:kern w:val="0"/>
                <w:sz w:val="24"/>
              </w:rPr>
              <w:t>B（省）</w:t>
            </w:r>
          </w:p>
        </w:tc>
        <w:tc>
          <w:tcPr>
            <w:tcW w:w="1159" w:type="dxa"/>
            <w:vAlign w:val="center"/>
          </w:tcPr>
          <w:p>
            <w:pPr>
              <w:jc w:val="center"/>
              <w:rPr>
                <w:kern w:val="0"/>
                <w:sz w:val="24"/>
              </w:rPr>
            </w:pPr>
            <w:r>
              <w:rPr>
                <w:kern w:val="0"/>
                <w:sz w:val="24"/>
              </w:rPr>
              <w:t>B（省）</w:t>
            </w:r>
          </w:p>
        </w:tc>
        <w:tc>
          <w:tcPr>
            <w:tcW w:w="1024" w:type="dxa"/>
            <w:vMerge w:val="restart"/>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Merge w:val="continue"/>
            <w:vAlign w:val="center"/>
          </w:tcPr>
          <w:p>
            <w:pPr>
              <w:jc w:val="center"/>
              <w:rPr>
                <w:kern w:val="0"/>
                <w:sz w:val="24"/>
              </w:rPr>
            </w:pPr>
          </w:p>
        </w:tc>
        <w:tc>
          <w:tcPr>
            <w:tcW w:w="2180" w:type="dxa"/>
            <w:vMerge w:val="continue"/>
            <w:vAlign w:val="center"/>
          </w:tcPr>
          <w:p>
            <w:pPr>
              <w:rPr>
                <w:kern w:val="0"/>
                <w:sz w:val="24"/>
              </w:rPr>
            </w:pPr>
          </w:p>
        </w:tc>
        <w:tc>
          <w:tcPr>
            <w:tcW w:w="1076" w:type="dxa"/>
            <w:vMerge w:val="continue"/>
            <w:vAlign w:val="center"/>
          </w:tcPr>
          <w:p>
            <w:pPr>
              <w:jc w:val="center"/>
              <w:rPr>
                <w:kern w:val="0"/>
                <w:sz w:val="24"/>
              </w:rPr>
            </w:pPr>
          </w:p>
        </w:tc>
        <w:tc>
          <w:tcPr>
            <w:tcW w:w="1695" w:type="dxa"/>
            <w:vAlign w:val="center"/>
          </w:tcPr>
          <w:p>
            <w:pPr>
              <w:jc w:val="center"/>
              <w:rPr>
                <w:kern w:val="0"/>
                <w:sz w:val="24"/>
              </w:rPr>
            </w:pPr>
            <w:r>
              <w:rPr>
                <w:kern w:val="0"/>
                <w:sz w:val="24"/>
              </w:rPr>
              <w:t>--</w:t>
            </w:r>
          </w:p>
        </w:tc>
        <w:tc>
          <w:tcPr>
            <w:tcW w:w="1159" w:type="dxa"/>
            <w:vAlign w:val="center"/>
          </w:tcPr>
          <w:p>
            <w:pPr>
              <w:jc w:val="center"/>
              <w:rPr>
                <w:kern w:val="0"/>
                <w:sz w:val="24"/>
              </w:rPr>
            </w:pPr>
            <w:r>
              <w:rPr>
                <w:kern w:val="0"/>
                <w:sz w:val="24"/>
              </w:rPr>
              <w:t>C</w:t>
            </w:r>
            <w:r>
              <w:rPr>
                <w:sz w:val="24"/>
              </w:rPr>
              <w:t>（5个市）</w:t>
            </w:r>
          </w:p>
        </w:tc>
        <w:tc>
          <w:tcPr>
            <w:tcW w:w="1159" w:type="dxa"/>
            <w:vAlign w:val="center"/>
          </w:tcPr>
          <w:p>
            <w:pPr>
              <w:jc w:val="center"/>
              <w:rPr>
                <w:kern w:val="0"/>
                <w:sz w:val="24"/>
              </w:rPr>
            </w:pPr>
            <w:r>
              <w:rPr>
                <w:kern w:val="0"/>
                <w:sz w:val="24"/>
              </w:rPr>
              <w:t>B</w:t>
            </w:r>
            <w:r>
              <w:rPr>
                <w:sz w:val="24"/>
              </w:rPr>
              <w:t>（1个市）</w:t>
            </w:r>
          </w:p>
        </w:tc>
        <w:tc>
          <w:tcPr>
            <w:tcW w:w="1024" w:type="dxa"/>
            <w:vMerge w:val="continue"/>
            <w:vAlign w:val="center"/>
          </w:tcPr>
          <w:p>
            <w:pPr>
              <w:jc w:val="center"/>
              <w:rPr>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5</w:t>
            </w:r>
          </w:p>
        </w:tc>
        <w:tc>
          <w:tcPr>
            <w:tcW w:w="2180" w:type="dxa"/>
            <w:vAlign w:val="center"/>
          </w:tcPr>
          <w:p>
            <w:pPr>
              <w:rPr>
                <w:kern w:val="0"/>
                <w:sz w:val="24"/>
              </w:rPr>
            </w:pPr>
            <w:r>
              <w:rPr>
                <w:kern w:val="0"/>
                <w:sz w:val="24"/>
              </w:rPr>
              <w:t>医疗器械CMA认证检验项目</w:t>
            </w:r>
          </w:p>
        </w:tc>
        <w:tc>
          <w:tcPr>
            <w:tcW w:w="1076" w:type="dxa"/>
            <w:vAlign w:val="center"/>
          </w:tcPr>
          <w:p>
            <w:pPr>
              <w:jc w:val="center"/>
              <w:rPr>
                <w:kern w:val="0"/>
                <w:sz w:val="24"/>
              </w:rPr>
            </w:pPr>
            <w:r>
              <w:rPr>
                <w:kern w:val="0"/>
                <w:sz w:val="24"/>
              </w:rPr>
              <w:t>项</w:t>
            </w:r>
          </w:p>
        </w:tc>
        <w:tc>
          <w:tcPr>
            <w:tcW w:w="1695" w:type="dxa"/>
            <w:vAlign w:val="center"/>
          </w:tcPr>
          <w:p>
            <w:pPr>
              <w:jc w:val="center"/>
              <w:rPr>
                <w:kern w:val="0"/>
                <w:sz w:val="24"/>
              </w:rPr>
            </w:pPr>
            <w:r>
              <w:rPr>
                <w:kern w:val="0"/>
                <w:sz w:val="24"/>
              </w:rPr>
              <w:t>761（省）</w:t>
            </w:r>
          </w:p>
        </w:tc>
        <w:tc>
          <w:tcPr>
            <w:tcW w:w="1159" w:type="dxa"/>
            <w:vAlign w:val="center"/>
          </w:tcPr>
          <w:p>
            <w:pPr>
              <w:jc w:val="center"/>
              <w:rPr>
                <w:kern w:val="0"/>
                <w:sz w:val="24"/>
              </w:rPr>
            </w:pPr>
            <w:r>
              <w:rPr>
                <w:kern w:val="0"/>
                <w:sz w:val="24"/>
              </w:rPr>
              <w:t>850（省）</w:t>
            </w:r>
          </w:p>
        </w:tc>
        <w:tc>
          <w:tcPr>
            <w:tcW w:w="1159" w:type="dxa"/>
            <w:vAlign w:val="center"/>
          </w:tcPr>
          <w:p>
            <w:pPr>
              <w:jc w:val="center"/>
              <w:rPr>
                <w:kern w:val="0"/>
                <w:sz w:val="24"/>
              </w:rPr>
            </w:pPr>
            <w:r>
              <w:rPr>
                <w:kern w:val="0"/>
                <w:sz w:val="24"/>
              </w:rPr>
              <w:t>1000（省）</w:t>
            </w:r>
          </w:p>
        </w:tc>
        <w:tc>
          <w:tcPr>
            <w:tcW w:w="1024"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6</w:t>
            </w:r>
          </w:p>
        </w:tc>
        <w:tc>
          <w:tcPr>
            <w:tcW w:w="2180" w:type="dxa"/>
            <w:vAlign w:val="center"/>
          </w:tcPr>
          <w:p>
            <w:pPr>
              <w:rPr>
                <w:spacing w:val="-8"/>
                <w:kern w:val="0"/>
                <w:sz w:val="24"/>
              </w:rPr>
            </w:pPr>
            <w:r>
              <w:rPr>
                <w:spacing w:val="-8"/>
                <w:kern w:val="0"/>
                <w:sz w:val="24"/>
              </w:rPr>
              <w:t>飞行检查整改完成率</w:t>
            </w:r>
          </w:p>
        </w:tc>
        <w:tc>
          <w:tcPr>
            <w:tcW w:w="1076" w:type="dxa"/>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100</w:t>
            </w:r>
          </w:p>
        </w:tc>
        <w:tc>
          <w:tcPr>
            <w:tcW w:w="1159" w:type="dxa"/>
            <w:vAlign w:val="center"/>
          </w:tcPr>
          <w:p>
            <w:pPr>
              <w:jc w:val="center"/>
              <w:rPr>
                <w:kern w:val="0"/>
                <w:sz w:val="24"/>
              </w:rPr>
            </w:pPr>
            <w:r>
              <w:rPr>
                <w:kern w:val="0"/>
                <w:sz w:val="24"/>
              </w:rPr>
              <w:t>100</w:t>
            </w:r>
          </w:p>
        </w:tc>
        <w:tc>
          <w:tcPr>
            <w:tcW w:w="1159" w:type="dxa"/>
            <w:vAlign w:val="center"/>
          </w:tcPr>
          <w:p>
            <w:pPr>
              <w:jc w:val="center"/>
              <w:rPr>
                <w:kern w:val="0"/>
                <w:sz w:val="24"/>
              </w:rPr>
            </w:pPr>
            <w:r>
              <w:rPr>
                <w:kern w:val="0"/>
                <w:sz w:val="24"/>
              </w:rPr>
              <w:t>100</w:t>
            </w:r>
          </w:p>
        </w:tc>
        <w:tc>
          <w:tcPr>
            <w:tcW w:w="1024"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7</w:t>
            </w:r>
          </w:p>
        </w:tc>
        <w:tc>
          <w:tcPr>
            <w:tcW w:w="2180" w:type="dxa"/>
            <w:vAlign w:val="center"/>
          </w:tcPr>
          <w:p>
            <w:pPr>
              <w:rPr>
                <w:kern w:val="0"/>
                <w:sz w:val="24"/>
              </w:rPr>
            </w:pPr>
            <w:r>
              <w:rPr>
                <w:kern w:val="0"/>
                <w:sz w:val="24"/>
              </w:rPr>
              <w:t>监督检查发现问题处置率</w:t>
            </w:r>
          </w:p>
        </w:tc>
        <w:tc>
          <w:tcPr>
            <w:tcW w:w="1076" w:type="dxa"/>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100</w:t>
            </w:r>
          </w:p>
        </w:tc>
        <w:tc>
          <w:tcPr>
            <w:tcW w:w="1159" w:type="dxa"/>
            <w:vAlign w:val="center"/>
          </w:tcPr>
          <w:p>
            <w:pPr>
              <w:jc w:val="center"/>
              <w:rPr>
                <w:kern w:val="0"/>
                <w:sz w:val="24"/>
              </w:rPr>
            </w:pPr>
            <w:r>
              <w:rPr>
                <w:kern w:val="0"/>
                <w:sz w:val="24"/>
              </w:rPr>
              <w:t>100</w:t>
            </w:r>
          </w:p>
        </w:tc>
        <w:tc>
          <w:tcPr>
            <w:tcW w:w="1159" w:type="dxa"/>
            <w:vAlign w:val="center"/>
          </w:tcPr>
          <w:p>
            <w:pPr>
              <w:jc w:val="center"/>
              <w:rPr>
                <w:kern w:val="0"/>
                <w:sz w:val="24"/>
              </w:rPr>
            </w:pPr>
            <w:r>
              <w:rPr>
                <w:kern w:val="0"/>
                <w:sz w:val="24"/>
              </w:rPr>
              <w:t>100</w:t>
            </w:r>
          </w:p>
        </w:tc>
        <w:tc>
          <w:tcPr>
            <w:tcW w:w="1024"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8</w:t>
            </w:r>
          </w:p>
        </w:tc>
        <w:tc>
          <w:tcPr>
            <w:tcW w:w="2180" w:type="dxa"/>
            <w:vAlign w:val="center"/>
          </w:tcPr>
          <w:p>
            <w:pPr>
              <w:rPr>
                <w:kern w:val="0"/>
                <w:sz w:val="24"/>
              </w:rPr>
            </w:pPr>
            <w:r>
              <w:rPr>
                <w:spacing w:val="-8"/>
                <w:kern w:val="0"/>
                <w:sz w:val="24"/>
              </w:rPr>
              <w:t>药品医疗器械化妆品生产企业质量安全信用等级管理覆盖率</w:t>
            </w:r>
          </w:p>
        </w:tc>
        <w:tc>
          <w:tcPr>
            <w:tcW w:w="1076" w:type="dxa"/>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--（药）</w:t>
            </w:r>
          </w:p>
          <w:p>
            <w:pPr>
              <w:jc w:val="center"/>
              <w:rPr>
                <w:kern w:val="0"/>
                <w:sz w:val="24"/>
              </w:rPr>
            </w:pPr>
            <w:r>
              <w:rPr>
                <w:kern w:val="0"/>
                <w:sz w:val="24"/>
              </w:rPr>
              <w:t>--（械）</w:t>
            </w:r>
          </w:p>
          <w:p>
            <w:pPr>
              <w:jc w:val="center"/>
              <w:rPr>
                <w:kern w:val="0"/>
                <w:sz w:val="24"/>
              </w:rPr>
            </w:pPr>
            <w:r>
              <w:rPr>
                <w:kern w:val="0"/>
                <w:sz w:val="24"/>
              </w:rPr>
              <w:t>90（化）</w:t>
            </w:r>
          </w:p>
        </w:tc>
        <w:tc>
          <w:tcPr>
            <w:tcW w:w="1159" w:type="dxa"/>
            <w:vAlign w:val="center"/>
          </w:tcPr>
          <w:p>
            <w:pPr>
              <w:jc w:val="center"/>
              <w:rPr>
                <w:kern w:val="0"/>
                <w:sz w:val="24"/>
              </w:rPr>
            </w:pPr>
            <w:r>
              <w:rPr>
                <w:kern w:val="0"/>
                <w:sz w:val="24"/>
              </w:rPr>
              <w:t>100</w:t>
            </w:r>
          </w:p>
        </w:tc>
        <w:tc>
          <w:tcPr>
            <w:tcW w:w="1159" w:type="dxa"/>
            <w:vAlign w:val="center"/>
          </w:tcPr>
          <w:p>
            <w:pPr>
              <w:jc w:val="center"/>
              <w:rPr>
                <w:kern w:val="0"/>
                <w:sz w:val="24"/>
              </w:rPr>
            </w:pPr>
            <w:r>
              <w:rPr>
                <w:kern w:val="0"/>
                <w:sz w:val="24"/>
              </w:rPr>
              <w:t>100</w:t>
            </w:r>
          </w:p>
        </w:tc>
        <w:tc>
          <w:tcPr>
            <w:tcW w:w="1024"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9</w:t>
            </w:r>
          </w:p>
        </w:tc>
        <w:tc>
          <w:tcPr>
            <w:tcW w:w="2180" w:type="dxa"/>
            <w:vAlign w:val="center"/>
          </w:tcPr>
          <w:p>
            <w:pPr>
              <w:rPr>
                <w:kern w:val="0"/>
                <w:sz w:val="24"/>
              </w:rPr>
            </w:pPr>
            <w:r>
              <w:rPr>
                <w:kern w:val="0"/>
                <w:sz w:val="24"/>
              </w:rPr>
              <w:t>药品医疗器械经营企业质量安全信用等级管理覆盖率</w:t>
            </w:r>
          </w:p>
        </w:tc>
        <w:tc>
          <w:tcPr>
            <w:tcW w:w="1076" w:type="dxa"/>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95（药）</w:t>
            </w:r>
          </w:p>
          <w:p>
            <w:pPr>
              <w:jc w:val="center"/>
              <w:rPr>
                <w:kern w:val="0"/>
                <w:sz w:val="24"/>
              </w:rPr>
            </w:pPr>
            <w:r>
              <w:rPr>
                <w:kern w:val="0"/>
                <w:sz w:val="24"/>
              </w:rPr>
              <w:t>75（械）</w:t>
            </w:r>
          </w:p>
        </w:tc>
        <w:tc>
          <w:tcPr>
            <w:tcW w:w="1159" w:type="dxa"/>
            <w:vAlign w:val="center"/>
          </w:tcPr>
          <w:p>
            <w:pPr>
              <w:jc w:val="center"/>
              <w:rPr>
                <w:kern w:val="0"/>
                <w:sz w:val="24"/>
              </w:rPr>
            </w:pPr>
            <w:r>
              <w:rPr>
                <w:kern w:val="0"/>
                <w:sz w:val="24"/>
              </w:rPr>
              <w:t>100</w:t>
            </w:r>
          </w:p>
        </w:tc>
        <w:tc>
          <w:tcPr>
            <w:tcW w:w="1159" w:type="dxa"/>
            <w:vAlign w:val="center"/>
          </w:tcPr>
          <w:p>
            <w:pPr>
              <w:jc w:val="center"/>
              <w:rPr>
                <w:kern w:val="0"/>
                <w:sz w:val="24"/>
              </w:rPr>
            </w:pPr>
            <w:r>
              <w:rPr>
                <w:kern w:val="0"/>
                <w:sz w:val="24"/>
              </w:rPr>
              <w:t>100</w:t>
            </w:r>
          </w:p>
        </w:tc>
        <w:tc>
          <w:tcPr>
            <w:tcW w:w="1024"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10</w:t>
            </w:r>
          </w:p>
        </w:tc>
        <w:tc>
          <w:tcPr>
            <w:tcW w:w="2180" w:type="dxa"/>
            <w:vAlign w:val="center"/>
          </w:tcPr>
          <w:p>
            <w:pPr>
              <w:rPr>
                <w:kern w:val="0"/>
                <w:sz w:val="24"/>
              </w:rPr>
            </w:pPr>
            <w:r>
              <w:rPr>
                <w:kern w:val="0"/>
                <w:sz w:val="24"/>
              </w:rPr>
              <w:t>基本药物、集采品种抽检合格率</w:t>
            </w:r>
          </w:p>
        </w:tc>
        <w:tc>
          <w:tcPr>
            <w:tcW w:w="1076" w:type="dxa"/>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99.5以上</w:t>
            </w:r>
          </w:p>
        </w:tc>
        <w:tc>
          <w:tcPr>
            <w:tcW w:w="1159" w:type="dxa"/>
            <w:vAlign w:val="center"/>
          </w:tcPr>
          <w:p>
            <w:pPr>
              <w:jc w:val="center"/>
              <w:rPr>
                <w:kern w:val="0"/>
                <w:sz w:val="24"/>
              </w:rPr>
            </w:pPr>
            <w:r>
              <w:rPr>
                <w:kern w:val="0"/>
                <w:sz w:val="24"/>
              </w:rPr>
              <w:t>99.5以上</w:t>
            </w:r>
          </w:p>
        </w:tc>
        <w:tc>
          <w:tcPr>
            <w:tcW w:w="1159" w:type="dxa"/>
            <w:vAlign w:val="center"/>
          </w:tcPr>
          <w:p>
            <w:pPr>
              <w:jc w:val="center"/>
              <w:rPr>
                <w:kern w:val="0"/>
                <w:sz w:val="24"/>
              </w:rPr>
            </w:pPr>
            <w:r>
              <w:rPr>
                <w:kern w:val="0"/>
                <w:sz w:val="24"/>
              </w:rPr>
              <w:t>99.5以上</w:t>
            </w:r>
          </w:p>
        </w:tc>
        <w:tc>
          <w:tcPr>
            <w:tcW w:w="1024"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11</w:t>
            </w:r>
          </w:p>
        </w:tc>
        <w:tc>
          <w:tcPr>
            <w:tcW w:w="2180" w:type="dxa"/>
            <w:vAlign w:val="center"/>
          </w:tcPr>
          <w:p>
            <w:pPr>
              <w:rPr>
                <w:kern w:val="0"/>
                <w:sz w:val="24"/>
              </w:rPr>
            </w:pPr>
            <w:r>
              <w:rPr>
                <w:spacing w:val="-8"/>
                <w:kern w:val="0"/>
                <w:sz w:val="24"/>
              </w:rPr>
              <w:t>药品不良反应报告数</w:t>
            </w:r>
          </w:p>
        </w:tc>
        <w:tc>
          <w:tcPr>
            <w:tcW w:w="1076" w:type="dxa"/>
            <w:vAlign w:val="center"/>
          </w:tcPr>
          <w:p>
            <w:pPr>
              <w:ind w:left="-29" w:leftChars="-9" w:right="-2"/>
              <w:jc w:val="center"/>
              <w:rPr>
                <w:w w:val="95"/>
                <w:kern w:val="0"/>
                <w:sz w:val="24"/>
              </w:rPr>
            </w:pPr>
            <w:r>
              <w:rPr>
                <w:w w:val="95"/>
                <w:kern w:val="0"/>
                <w:sz w:val="24"/>
              </w:rPr>
              <w:t>份/百万人</w:t>
            </w:r>
          </w:p>
        </w:tc>
        <w:tc>
          <w:tcPr>
            <w:tcW w:w="1695" w:type="dxa"/>
            <w:vAlign w:val="center"/>
          </w:tcPr>
          <w:p>
            <w:pPr>
              <w:jc w:val="center"/>
              <w:rPr>
                <w:kern w:val="0"/>
                <w:sz w:val="24"/>
              </w:rPr>
            </w:pPr>
            <w:r>
              <w:rPr>
                <w:kern w:val="0"/>
                <w:sz w:val="24"/>
              </w:rPr>
              <w:t>1000以上</w:t>
            </w:r>
          </w:p>
        </w:tc>
        <w:tc>
          <w:tcPr>
            <w:tcW w:w="1159" w:type="dxa"/>
            <w:vAlign w:val="center"/>
          </w:tcPr>
          <w:p>
            <w:pPr>
              <w:jc w:val="center"/>
              <w:rPr>
                <w:kern w:val="0"/>
                <w:sz w:val="24"/>
              </w:rPr>
            </w:pPr>
            <w:r>
              <w:rPr>
                <w:kern w:val="0"/>
                <w:sz w:val="24"/>
              </w:rPr>
              <w:t>1000以上</w:t>
            </w:r>
          </w:p>
        </w:tc>
        <w:tc>
          <w:tcPr>
            <w:tcW w:w="1159" w:type="dxa"/>
            <w:vAlign w:val="center"/>
          </w:tcPr>
          <w:p>
            <w:pPr>
              <w:jc w:val="center"/>
              <w:rPr>
                <w:kern w:val="0"/>
                <w:sz w:val="24"/>
              </w:rPr>
            </w:pPr>
            <w:r>
              <w:rPr>
                <w:kern w:val="0"/>
                <w:sz w:val="24"/>
              </w:rPr>
              <w:t>1000以上</w:t>
            </w:r>
          </w:p>
        </w:tc>
        <w:tc>
          <w:tcPr>
            <w:tcW w:w="1024"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12</w:t>
            </w:r>
          </w:p>
        </w:tc>
        <w:tc>
          <w:tcPr>
            <w:tcW w:w="2180" w:type="dxa"/>
            <w:vAlign w:val="center"/>
          </w:tcPr>
          <w:p>
            <w:pPr>
              <w:rPr>
                <w:kern w:val="0"/>
                <w:sz w:val="24"/>
              </w:rPr>
            </w:pPr>
            <w:r>
              <w:rPr>
                <w:kern w:val="0"/>
                <w:sz w:val="24"/>
              </w:rPr>
              <w:t>医疗器械不良事件报告数</w:t>
            </w:r>
          </w:p>
        </w:tc>
        <w:tc>
          <w:tcPr>
            <w:tcW w:w="1076" w:type="dxa"/>
            <w:vAlign w:val="center"/>
          </w:tcPr>
          <w:p>
            <w:pPr>
              <w:ind w:left="-29" w:leftChars="-9" w:right="-2"/>
              <w:jc w:val="center"/>
              <w:rPr>
                <w:w w:val="95"/>
                <w:kern w:val="0"/>
                <w:sz w:val="24"/>
              </w:rPr>
            </w:pPr>
            <w:r>
              <w:rPr>
                <w:w w:val="95"/>
                <w:kern w:val="0"/>
                <w:sz w:val="24"/>
              </w:rPr>
              <w:t>份/百万人</w:t>
            </w:r>
          </w:p>
        </w:tc>
        <w:tc>
          <w:tcPr>
            <w:tcW w:w="1695" w:type="dxa"/>
            <w:vAlign w:val="center"/>
          </w:tcPr>
          <w:p>
            <w:pPr>
              <w:jc w:val="center"/>
              <w:rPr>
                <w:kern w:val="0"/>
                <w:sz w:val="24"/>
              </w:rPr>
            </w:pPr>
            <w:r>
              <w:rPr>
                <w:kern w:val="0"/>
                <w:sz w:val="24"/>
              </w:rPr>
              <w:t>265</w:t>
            </w:r>
          </w:p>
        </w:tc>
        <w:tc>
          <w:tcPr>
            <w:tcW w:w="1159" w:type="dxa"/>
            <w:vAlign w:val="center"/>
          </w:tcPr>
          <w:p>
            <w:pPr>
              <w:jc w:val="center"/>
              <w:rPr>
                <w:kern w:val="0"/>
                <w:sz w:val="24"/>
              </w:rPr>
            </w:pPr>
            <w:r>
              <w:rPr>
                <w:kern w:val="0"/>
                <w:sz w:val="24"/>
              </w:rPr>
              <w:t>400以上</w:t>
            </w:r>
          </w:p>
        </w:tc>
        <w:tc>
          <w:tcPr>
            <w:tcW w:w="1159" w:type="dxa"/>
            <w:vAlign w:val="center"/>
          </w:tcPr>
          <w:p>
            <w:pPr>
              <w:jc w:val="center"/>
              <w:rPr>
                <w:kern w:val="0"/>
                <w:sz w:val="24"/>
              </w:rPr>
            </w:pPr>
            <w:r>
              <w:rPr>
                <w:kern w:val="0"/>
                <w:sz w:val="24"/>
              </w:rPr>
              <w:t>500以上</w:t>
            </w:r>
          </w:p>
        </w:tc>
        <w:tc>
          <w:tcPr>
            <w:tcW w:w="1024"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13</w:t>
            </w:r>
          </w:p>
        </w:tc>
        <w:tc>
          <w:tcPr>
            <w:tcW w:w="2180" w:type="dxa"/>
            <w:vAlign w:val="center"/>
          </w:tcPr>
          <w:p>
            <w:pPr>
              <w:rPr>
                <w:kern w:val="0"/>
                <w:sz w:val="24"/>
              </w:rPr>
            </w:pPr>
            <w:r>
              <w:rPr>
                <w:kern w:val="0"/>
                <w:sz w:val="24"/>
              </w:rPr>
              <w:t>化妆品不良反应报告数</w:t>
            </w:r>
          </w:p>
        </w:tc>
        <w:tc>
          <w:tcPr>
            <w:tcW w:w="1076" w:type="dxa"/>
            <w:vAlign w:val="center"/>
          </w:tcPr>
          <w:p>
            <w:pPr>
              <w:ind w:left="-29" w:leftChars="-9" w:right="-2"/>
              <w:jc w:val="center"/>
              <w:rPr>
                <w:w w:val="95"/>
                <w:kern w:val="0"/>
                <w:sz w:val="24"/>
              </w:rPr>
            </w:pPr>
            <w:r>
              <w:rPr>
                <w:w w:val="95"/>
                <w:kern w:val="0"/>
                <w:sz w:val="24"/>
              </w:rPr>
              <w:t>份/百万人</w:t>
            </w:r>
          </w:p>
        </w:tc>
        <w:tc>
          <w:tcPr>
            <w:tcW w:w="1695" w:type="dxa"/>
            <w:vAlign w:val="center"/>
          </w:tcPr>
          <w:p>
            <w:pPr>
              <w:jc w:val="center"/>
              <w:rPr>
                <w:kern w:val="0"/>
                <w:sz w:val="24"/>
              </w:rPr>
            </w:pPr>
            <w:r>
              <w:rPr>
                <w:kern w:val="0"/>
                <w:sz w:val="24"/>
              </w:rPr>
              <w:t>90</w:t>
            </w:r>
          </w:p>
        </w:tc>
        <w:tc>
          <w:tcPr>
            <w:tcW w:w="1159" w:type="dxa"/>
            <w:vAlign w:val="center"/>
          </w:tcPr>
          <w:p>
            <w:pPr>
              <w:jc w:val="center"/>
              <w:rPr>
                <w:kern w:val="0"/>
                <w:sz w:val="24"/>
              </w:rPr>
            </w:pPr>
            <w:r>
              <w:rPr>
                <w:kern w:val="0"/>
                <w:sz w:val="24"/>
              </w:rPr>
              <w:t>100以上</w:t>
            </w:r>
          </w:p>
        </w:tc>
        <w:tc>
          <w:tcPr>
            <w:tcW w:w="1159" w:type="dxa"/>
            <w:vAlign w:val="center"/>
          </w:tcPr>
          <w:p>
            <w:pPr>
              <w:jc w:val="center"/>
              <w:rPr>
                <w:kern w:val="0"/>
                <w:sz w:val="24"/>
              </w:rPr>
            </w:pPr>
            <w:r>
              <w:rPr>
                <w:kern w:val="0"/>
                <w:sz w:val="24"/>
              </w:rPr>
              <w:t>100以上</w:t>
            </w:r>
          </w:p>
        </w:tc>
        <w:tc>
          <w:tcPr>
            <w:tcW w:w="1024"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1025" w:hRule="atLeast"/>
          <w:jc w:val="center"/>
        </w:trPr>
        <w:tc>
          <w:tcPr>
            <w:tcW w:w="552" w:type="dxa"/>
            <w:vAlign w:val="center"/>
          </w:tcPr>
          <w:p>
            <w:pPr>
              <w:jc w:val="center"/>
              <w:rPr>
                <w:kern w:val="0"/>
                <w:sz w:val="24"/>
              </w:rPr>
            </w:pPr>
            <w:r>
              <w:rPr>
                <w:kern w:val="0"/>
                <w:sz w:val="24"/>
              </w:rPr>
              <w:t>14</w:t>
            </w:r>
          </w:p>
        </w:tc>
        <w:tc>
          <w:tcPr>
            <w:tcW w:w="2180" w:type="dxa"/>
            <w:vAlign w:val="center"/>
          </w:tcPr>
          <w:p>
            <w:pPr>
              <w:rPr>
                <w:kern w:val="0"/>
                <w:sz w:val="24"/>
              </w:rPr>
            </w:pPr>
            <w:r>
              <w:rPr>
                <w:kern w:val="0"/>
                <w:sz w:val="24"/>
              </w:rPr>
              <w:t>申报创新药</w:t>
            </w:r>
          </w:p>
        </w:tc>
        <w:tc>
          <w:tcPr>
            <w:tcW w:w="1076" w:type="dxa"/>
            <w:vAlign w:val="center"/>
          </w:tcPr>
          <w:p>
            <w:pPr>
              <w:jc w:val="center"/>
              <w:rPr>
                <w:kern w:val="0"/>
                <w:sz w:val="24"/>
              </w:rPr>
            </w:pPr>
            <w:r>
              <w:rPr>
                <w:kern w:val="0"/>
                <w:sz w:val="24"/>
              </w:rPr>
              <w:t>品规</w:t>
            </w:r>
          </w:p>
        </w:tc>
        <w:tc>
          <w:tcPr>
            <w:tcW w:w="1695" w:type="dxa"/>
            <w:vAlign w:val="center"/>
          </w:tcPr>
          <w:p>
            <w:pPr>
              <w:jc w:val="center"/>
              <w:rPr>
                <w:sz w:val="24"/>
              </w:rPr>
            </w:pPr>
            <w:r>
              <w:rPr>
                <w:sz w:val="24"/>
              </w:rPr>
              <w:t>23</w:t>
            </w:r>
          </w:p>
          <w:p>
            <w:pPr>
              <w:jc w:val="center"/>
              <w:rPr>
                <w:sz w:val="24"/>
              </w:rPr>
            </w:pPr>
            <w:r>
              <w:rPr>
                <w:sz w:val="24"/>
              </w:rPr>
              <w:t>（“十三五”年均数）</w:t>
            </w:r>
          </w:p>
        </w:tc>
        <w:tc>
          <w:tcPr>
            <w:tcW w:w="1159" w:type="dxa"/>
            <w:vAlign w:val="center"/>
          </w:tcPr>
          <w:p>
            <w:pPr>
              <w:jc w:val="center"/>
              <w:rPr>
                <w:sz w:val="24"/>
              </w:rPr>
            </w:pPr>
            <w:r>
              <w:rPr>
                <w:sz w:val="24"/>
              </w:rPr>
              <w:t>〔</w:t>
            </w:r>
            <w:r>
              <w:rPr>
                <w:kern w:val="0"/>
                <w:sz w:val="24"/>
              </w:rPr>
              <w:t>70</w:t>
            </w:r>
            <w:r>
              <w:rPr>
                <w:sz w:val="24"/>
              </w:rPr>
              <w:t>〕</w:t>
            </w:r>
          </w:p>
        </w:tc>
        <w:tc>
          <w:tcPr>
            <w:tcW w:w="1159" w:type="dxa"/>
            <w:vAlign w:val="center"/>
          </w:tcPr>
          <w:p>
            <w:pPr>
              <w:jc w:val="center"/>
              <w:rPr>
                <w:kern w:val="0"/>
                <w:sz w:val="24"/>
              </w:rPr>
            </w:pPr>
            <w:r>
              <w:rPr>
                <w:sz w:val="24"/>
              </w:rPr>
              <w:t>〔</w:t>
            </w:r>
            <w:r>
              <w:rPr>
                <w:kern w:val="0"/>
                <w:sz w:val="24"/>
              </w:rPr>
              <w:t>100</w:t>
            </w:r>
            <w:r>
              <w:rPr>
                <w:sz w:val="24"/>
              </w:rPr>
              <w:t>〕</w:t>
            </w:r>
          </w:p>
        </w:tc>
        <w:tc>
          <w:tcPr>
            <w:tcW w:w="1024" w:type="dxa"/>
            <w:vAlign w:val="center"/>
          </w:tcPr>
          <w:p>
            <w:pPr>
              <w:jc w:val="center"/>
              <w:rPr>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1054" w:hRule="atLeast"/>
          <w:jc w:val="center"/>
        </w:trPr>
        <w:tc>
          <w:tcPr>
            <w:tcW w:w="552" w:type="dxa"/>
            <w:vAlign w:val="center"/>
          </w:tcPr>
          <w:p>
            <w:pPr>
              <w:jc w:val="center"/>
              <w:rPr>
                <w:kern w:val="0"/>
                <w:sz w:val="24"/>
              </w:rPr>
            </w:pPr>
            <w:r>
              <w:rPr>
                <w:kern w:val="0"/>
                <w:sz w:val="24"/>
              </w:rPr>
              <w:t>15</w:t>
            </w:r>
          </w:p>
        </w:tc>
        <w:tc>
          <w:tcPr>
            <w:tcW w:w="2180" w:type="dxa"/>
            <w:vAlign w:val="center"/>
          </w:tcPr>
          <w:p>
            <w:pPr>
              <w:rPr>
                <w:kern w:val="0"/>
                <w:sz w:val="24"/>
              </w:rPr>
            </w:pPr>
            <w:r>
              <w:rPr>
                <w:kern w:val="0"/>
                <w:sz w:val="24"/>
              </w:rPr>
              <w:t>培育创新医疗器械</w:t>
            </w:r>
          </w:p>
        </w:tc>
        <w:tc>
          <w:tcPr>
            <w:tcW w:w="1076" w:type="dxa"/>
            <w:vAlign w:val="center"/>
          </w:tcPr>
          <w:p>
            <w:pPr>
              <w:jc w:val="center"/>
              <w:rPr>
                <w:kern w:val="0"/>
                <w:sz w:val="24"/>
              </w:rPr>
            </w:pPr>
            <w:r>
              <w:rPr>
                <w:kern w:val="0"/>
                <w:sz w:val="24"/>
              </w:rPr>
              <w:t>个</w:t>
            </w:r>
          </w:p>
        </w:tc>
        <w:tc>
          <w:tcPr>
            <w:tcW w:w="1695" w:type="dxa"/>
            <w:vAlign w:val="center"/>
          </w:tcPr>
          <w:p>
            <w:pPr>
              <w:jc w:val="center"/>
              <w:rPr>
                <w:sz w:val="24"/>
              </w:rPr>
            </w:pPr>
            <w:r>
              <w:rPr>
                <w:sz w:val="24"/>
              </w:rPr>
              <w:t>14</w:t>
            </w:r>
          </w:p>
          <w:p>
            <w:pPr>
              <w:jc w:val="center"/>
              <w:rPr>
                <w:sz w:val="24"/>
              </w:rPr>
            </w:pPr>
            <w:r>
              <w:rPr>
                <w:sz w:val="24"/>
              </w:rPr>
              <w:t>（“十三五”年均数）</w:t>
            </w:r>
          </w:p>
        </w:tc>
        <w:tc>
          <w:tcPr>
            <w:tcW w:w="1159" w:type="dxa"/>
            <w:vAlign w:val="center"/>
          </w:tcPr>
          <w:p>
            <w:pPr>
              <w:jc w:val="center"/>
              <w:rPr>
                <w:sz w:val="24"/>
              </w:rPr>
            </w:pPr>
            <w:r>
              <w:rPr>
                <w:sz w:val="24"/>
              </w:rPr>
              <w:t>〔</w:t>
            </w:r>
            <w:r>
              <w:rPr>
                <w:kern w:val="0"/>
                <w:sz w:val="24"/>
              </w:rPr>
              <w:t>60</w:t>
            </w:r>
            <w:r>
              <w:rPr>
                <w:sz w:val="24"/>
              </w:rPr>
              <w:t>〕</w:t>
            </w:r>
          </w:p>
        </w:tc>
        <w:tc>
          <w:tcPr>
            <w:tcW w:w="1159" w:type="dxa"/>
            <w:vAlign w:val="center"/>
          </w:tcPr>
          <w:p>
            <w:pPr>
              <w:jc w:val="center"/>
              <w:rPr>
                <w:kern w:val="0"/>
                <w:sz w:val="24"/>
              </w:rPr>
            </w:pPr>
            <w:r>
              <w:rPr>
                <w:sz w:val="24"/>
              </w:rPr>
              <w:t>〔</w:t>
            </w:r>
            <w:r>
              <w:rPr>
                <w:kern w:val="0"/>
                <w:sz w:val="24"/>
              </w:rPr>
              <w:t>100</w:t>
            </w:r>
            <w:r>
              <w:rPr>
                <w:sz w:val="24"/>
              </w:rPr>
              <w:t>〕</w:t>
            </w:r>
          </w:p>
        </w:tc>
        <w:tc>
          <w:tcPr>
            <w:tcW w:w="1024" w:type="dxa"/>
            <w:vAlign w:val="center"/>
          </w:tcPr>
          <w:p>
            <w:pPr>
              <w:jc w:val="center"/>
              <w:rPr>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16</w:t>
            </w:r>
          </w:p>
        </w:tc>
        <w:tc>
          <w:tcPr>
            <w:tcW w:w="2180" w:type="dxa"/>
            <w:vAlign w:val="center"/>
          </w:tcPr>
          <w:p>
            <w:pPr>
              <w:rPr>
                <w:kern w:val="0"/>
                <w:sz w:val="24"/>
              </w:rPr>
            </w:pPr>
            <w:r>
              <w:rPr>
                <w:kern w:val="0"/>
                <w:sz w:val="24"/>
              </w:rPr>
              <w:t>申报仿制药质量和疗效一致性评价</w:t>
            </w:r>
          </w:p>
        </w:tc>
        <w:tc>
          <w:tcPr>
            <w:tcW w:w="1076" w:type="dxa"/>
            <w:vAlign w:val="center"/>
          </w:tcPr>
          <w:p>
            <w:pPr>
              <w:jc w:val="center"/>
              <w:rPr>
                <w:kern w:val="0"/>
                <w:sz w:val="24"/>
              </w:rPr>
            </w:pPr>
            <w:r>
              <w:rPr>
                <w:kern w:val="0"/>
                <w:sz w:val="24"/>
              </w:rPr>
              <w:t>品规</w:t>
            </w:r>
          </w:p>
        </w:tc>
        <w:tc>
          <w:tcPr>
            <w:tcW w:w="1695" w:type="dxa"/>
            <w:vAlign w:val="center"/>
          </w:tcPr>
          <w:p>
            <w:pPr>
              <w:jc w:val="center"/>
              <w:rPr>
                <w:sz w:val="24"/>
              </w:rPr>
            </w:pPr>
            <w:r>
              <w:rPr>
                <w:sz w:val="24"/>
              </w:rPr>
              <w:t>25</w:t>
            </w:r>
          </w:p>
          <w:p>
            <w:pPr>
              <w:jc w:val="center"/>
              <w:rPr>
                <w:sz w:val="24"/>
              </w:rPr>
            </w:pPr>
            <w:r>
              <w:rPr>
                <w:sz w:val="24"/>
              </w:rPr>
              <w:t>（“十三五”年均数）</w:t>
            </w:r>
          </w:p>
        </w:tc>
        <w:tc>
          <w:tcPr>
            <w:tcW w:w="1159" w:type="dxa"/>
            <w:vAlign w:val="center"/>
          </w:tcPr>
          <w:p>
            <w:pPr>
              <w:jc w:val="center"/>
              <w:rPr>
                <w:sz w:val="24"/>
              </w:rPr>
            </w:pPr>
            <w:r>
              <w:rPr>
                <w:sz w:val="24"/>
              </w:rPr>
              <w:t>〔</w:t>
            </w:r>
            <w:r>
              <w:rPr>
                <w:kern w:val="0"/>
                <w:sz w:val="24"/>
              </w:rPr>
              <w:t>70</w:t>
            </w:r>
            <w:r>
              <w:rPr>
                <w:sz w:val="24"/>
              </w:rPr>
              <w:t>〕</w:t>
            </w:r>
          </w:p>
        </w:tc>
        <w:tc>
          <w:tcPr>
            <w:tcW w:w="1159" w:type="dxa"/>
            <w:vAlign w:val="center"/>
          </w:tcPr>
          <w:p>
            <w:pPr>
              <w:jc w:val="center"/>
              <w:rPr>
                <w:kern w:val="0"/>
                <w:sz w:val="24"/>
              </w:rPr>
            </w:pPr>
            <w:r>
              <w:rPr>
                <w:sz w:val="24"/>
              </w:rPr>
              <w:t>〔</w:t>
            </w:r>
            <w:r>
              <w:rPr>
                <w:kern w:val="0"/>
                <w:sz w:val="24"/>
              </w:rPr>
              <w:t>100</w:t>
            </w:r>
            <w:r>
              <w:rPr>
                <w:sz w:val="24"/>
              </w:rPr>
              <w:t>〕</w:t>
            </w:r>
          </w:p>
        </w:tc>
        <w:tc>
          <w:tcPr>
            <w:tcW w:w="1024" w:type="dxa"/>
            <w:vAlign w:val="center"/>
          </w:tcPr>
          <w:p>
            <w:pPr>
              <w:jc w:val="center"/>
              <w:rPr>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17</w:t>
            </w:r>
          </w:p>
        </w:tc>
        <w:tc>
          <w:tcPr>
            <w:tcW w:w="2180" w:type="dxa"/>
            <w:vAlign w:val="center"/>
          </w:tcPr>
          <w:p>
            <w:pPr>
              <w:rPr>
                <w:kern w:val="0"/>
                <w:sz w:val="24"/>
              </w:rPr>
            </w:pPr>
            <w:r>
              <w:rPr>
                <w:kern w:val="0"/>
                <w:sz w:val="24"/>
              </w:rPr>
              <w:t>制修订药品医疗器械化妆品标准</w:t>
            </w:r>
          </w:p>
        </w:tc>
        <w:tc>
          <w:tcPr>
            <w:tcW w:w="1076" w:type="dxa"/>
            <w:vAlign w:val="center"/>
          </w:tcPr>
          <w:p>
            <w:pPr>
              <w:jc w:val="center"/>
              <w:rPr>
                <w:kern w:val="0"/>
                <w:sz w:val="24"/>
              </w:rPr>
            </w:pPr>
            <w:r>
              <w:rPr>
                <w:kern w:val="0"/>
                <w:sz w:val="24"/>
              </w:rPr>
              <w:t>个</w:t>
            </w:r>
          </w:p>
        </w:tc>
        <w:tc>
          <w:tcPr>
            <w:tcW w:w="1695" w:type="dxa"/>
            <w:vAlign w:val="center"/>
          </w:tcPr>
          <w:p>
            <w:pPr>
              <w:jc w:val="center"/>
              <w:rPr>
                <w:sz w:val="24"/>
              </w:rPr>
            </w:pPr>
            <w:r>
              <w:rPr>
                <w:sz w:val="24"/>
              </w:rPr>
              <w:t>34</w:t>
            </w:r>
          </w:p>
          <w:p>
            <w:pPr>
              <w:jc w:val="center"/>
              <w:rPr>
                <w:sz w:val="24"/>
              </w:rPr>
            </w:pPr>
            <w:r>
              <w:rPr>
                <w:sz w:val="24"/>
              </w:rPr>
              <w:t>（“十三五”年均数）</w:t>
            </w:r>
          </w:p>
        </w:tc>
        <w:tc>
          <w:tcPr>
            <w:tcW w:w="1159" w:type="dxa"/>
            <w:vAlign w:val="center"/>
          </w:tcPr>
          <w:p>
            <w:pPr>
              <w:jc w:val="center"/>
              <w:rPr>
                <w:sz w:val="24"/>
              </w:rPr>
            </w:pPr>
            <w:r>
              <w:rPr>
                <w:sz w:val="24"/>
              </w:rPr>
              <w:t>〔</w:t>
            </w:r>
            <w:r>
              <w:rPr>
                <w:kern w:val="0"/>
                <w:sz w:val="24"/>
              </w:rPr>
              <w:t>70</w:t>
            </w:r>
            <w:r>
              <w:rPr>
                <w:sz w:val="24"/>
              </w:rPr>
              <w:t>〕</w:t>
            </w:r>
          </w:p>
        </w:tc>
        <w:tc>
          <w:tcPr>
            <w:tcW w:w="1159" w:type="dxa"/>
            <w:vAlign w:val="center"/>
          </w:tcPr>
          <w:p>
            <w:pPr>
              <w:jc w:val="center"/>
              <w:rPr>
                <w:kern w:val="0"/>
                <w:sz w:val="24"/>
              </w:rPr>
            </w:pPr>
            <w:r>
              <w:rPr>
                <w:sz w:val="24"/>
              </w:rPr>
              <w:t>〔</w:t>
            </w:r>
            <w:r>
              <w:rPr>
                <w:kern w:val="0"/>
                <w:sz w:val="24"/>
              </w:rPr>
              <w:t>100</w:t>
            </w:r>
            <w:r>
              <w:rPr>
                <w:sz w:val="24"/>
              </w:rPr>
              <w:t>〕</w:t>
            </w:r>
          </w:p>
        </w:tc>
        <w:tc>
          <w:tcPr>
            <w:tcW w:w="1024" w:type="dxa"/>
            <w:vAlign w:val="center"/>
          </w:tcPr>
          <w:p>
            <w:pPr>
              <w:jc w:val="center"/>
              <w:rPr>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18</w:t>
            </w:r>
          </w:p>
        </w:tc>
        <w:tc>
          <w:tcPr>
            <w:tcW w:w="2180" w:type="dxa"/>
            <w:vAlign w:val="center"/>
          </w:tcPr>
          <w:p>
            <w:pPr>
              <w:rPr>
                <w:kern w:val="0"/>
                <w:sz w:val="24"/>
              </w:rPr>
            </w:pPr>
            <w:r>
              <w:rPr>
                <w:spacing w:val="-8"/>
                <w:kern w:val="0"/>
                <w:sz w:val="24"/>
              </w:rPr>
              <w:t>公众药品安全满意度</w:t>
            </w:r>
          </w:p>
        </w:tc>
        <w:tc>
          <w:tcPr>
            <w:tcW w:w="1076" w:type="dxa"/>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87.8</w:t>
            </w:r>
          </w:p>
        </w:tc>
        <w:tc>
          <w:tcPr>
            <w:tcW w:w="1159" w:type="dxa"/>
            <w:vAlign w:val="center"/>
          </w:tcPr>
          <w:p>
            <w:pPr>
              <w:jc w:val="center"/>
              <w:rPr>
                <w:kern w:val="0"/>
                <w:sz w:val="24"/>
              </w:rPr>
            </w:pPr>
            <w:r>
              <w:rPr>
                <w:kern w:val="0"/>
                <w:sz w:val="24"/>
              </w:rPr>
              <w:t>89</w:t>
            </w:r>
          </w:p>
        </w:tc>
        <w:tc>
          <w:tcPr>
            <w:tcW w:w="1159" w:type="dxa"/>
            <w:vAlign w:val="center"/>
          </w:tcPr>
          <w:p>
            <w:pPr>
              <w:jc w:val="center"/>
              <w:rPr>
                <w:kern w:val="0"/>
                <w:sz w:val="24"/>
              </w:rPr>
            </w:pPr>
            <w:r>
              <w:rPr>
                <w:kern w:val="0"/>
                <w:sz w:val="24"/>
              </w:rPr>
              <w:t>90以上</w:t>
            </w:r>
          </w:p>
        </w:tc>
        <w:tc>
          <w:tcPr>
            <w:tcW w:w="1024"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552" w:type="dxa"/>
            <w:vAlign w:val="center"/>
          </w:tcPr>
          <w:p>
            <w:pPr>
              <w:jc w:val="center"/>
              <w:rPr>
                <w:kern w:val="0"/>
                <w:sz w:val="24"/>
              </w:rPr>
            </w:pPr>
            <w:r>
              <w:rPr>
                <w:kern w:val="0"/>
                <w:sz w:val="24"/>
              </w:rPr>
              <w:t>19</w:t>
            </w:r>
          </w:p>
        </w:tc>
        <w:tc>
          <w:tcPr>
            <w:tcW w:w="2180" w:type="dxa"/>
            <w:vAlign w:val="center"/>
          </w:tcPr>
          <w:p>
            <w:pPr>
              <w:rPr>
                <w:kern w:val="0"/>
                <w:sz w:val="24"/>
              </w:rPr>
            </w:pPr>
            <w:r>
              <w:rPr>
                <w:kern w:val="0"/>
                <w:sz w:val="24"/>
              </w:rPr>
              <w:t>重大及以上药品安全事件</w:t>
            </w:r>
          </w:p>
        </w:tc>
        <w:tc>
          <w:tcPr>
            <w:tcW w:w="1076" w:type="dxa"/>
            <w:vAlign w:val="center"/>
          </w:tcPr>
          <w:p>
            <w:pPr>
              <w:jc w:val="center"/>
              <w:rPr>
                <w:kern w:val="0"/>
                <w:sz w:val="24"/>
              </w:rPr>
            </w:pPr>
            <w:r>
              <w:rPr>
                <w:kern w:val="0"/>
                <w:sz w:val="24"/>
              </w:rPr>
              <w:t>--</w:t>
            </w:r>
          </w:p>
        </w:tc>
        <w:tc>
          <w:tcPr>
            <w:tcW w:w="1695" w:type="dxa"/>
            <w:vAlign w:val="center"/>
          </w:tcPr>
          <w:p>
            <w:pPr>
              <w:jc w:val="center"/>
              <w:rPr>
                <w:kern w:val="0"/>
                <w:sz w:val="24"/>
              </w:rPr>
            </w:pPr>
            <w:r>
              <w:rPr>
                <w:kern w:val="0"/>
                <w:sz w:val="24"/>
              </w:rPr>
              <w:t>未发生</w:t>
            </w:r>
          </w:p>
        </w:tc>
        <w:tc>
          <w:tcPr>
            <w:tcW w:w="1159" w:type="dxa"/>
            <w:vAlign w:val="center"/>
          </w:tcPr>
          <w:p>
            <w:pPr>
              <w:jc w:val="center"/>
              <w:rPr>
                <w:kern w:val="0"/>
                <w:sz w:val="24"/>
              </w:rPr>
            </w:pPr>
            <w:r>
              <w:rPr>
                <w:kern w:val="0"/>
                <w:sz w:val="24"/>
              </w:rPr>
              <w:t>不发生</w:t>
            </w:r>
          </w:p>
        </w:tc>
        <w:tc>
          <w:tcPr>
            <w:tcW w:w="1159" w:type="dxa"/>
            <w:vAlign w:val="center"/>
          </w:tcPr>
          <w:p>
            <w:pPr>
              <w:jc w:val="center"/>
              <w:rPr>
                <w:kern w:val="0"/>
                <w:sz w:val="24"/>
              </w:rPr>
            </w:pPr>
            <w:r>
              <w:rPr>
                <w:kern w:val="0"/>
                <w:sz w:val="24"/>
              </w:rPr>
              <w:t>不发生</w:t>
            </w:r>
          </w:p>
        </w:tc>
        <w:tc>
          <w:tcPr>
            <w:tcW w:w="1024" w:type="dxa"/>
            <w:vAlign w:val="center"/>
          </w:tcPr>
          <w:p>
            <w:pPr>
              <w:jc w:val="center"/>
              <w:rPr>
                <w:kern w:val="0"/>
                <w:sz w:val="24"/>
              </w:rPr>
            </w:pPr>
            <w:r>
              <w:rPr>
                <w:kern w:val="0"/>
                <w:sz w:val="24"/>
              </w:rPr>
              <w:t>约束性</w:t>
            </w:r>
          </w:p>
        </w:tc>
      </w:tr>
    </w:tbl>
    <w:p>
      <w:pPr>
        <w:spacing w:line="300" w:lineRule="exact"/>
        <w:ind w:firstLine="480" w:firstLineChars="200"/>
        <w:rPr>
          <w:rFonts w:eastAsia="楷体_GB2312"/>
          <w:sz w:val="24"/>
        </w:rPr>
      </w:pPr>
      <w:r>
        <w:rPr>
          <w:rFonts w:eastAsia="楷体_GB2312"/>
          <w:sz w:val="24"/>
        </w:rPr>
        <w:t>注：1．〔〕为累计数；</w:t>
      </w:r>
    </w:p>
    <w:p>
      <w:pPr>
        <w:spacing w:line="300" w:lineRule="exact"/>
        <w:ind w:firstLine="480" w:firstLineChars="200"/>
        <w:rPr>
          <w:rFonts w:eastAsia="楷体_GB2312"/>
          <w:sz w:val="24"/>
        </w:rPr>
      </w:pPr>
      <w:r>
        <w:rPr>
          <w:rFonts w:eastAsia="楷体_GB2312"/>
          <w:sz w:val="24"/>
        </w:rPr>
        <w:t xml:space="preserve">    2．指标涵义及统计方法见附件2。</w:t>
      </w:r>
    </w:p>
    <w:p>
      <w:pPr>
        <w:pStyle w:val="2"/>
        <w:keepNext w:val="0"/>
        <w:keepLines w:val="0"/>
        <w:spacing w:before="0" w:after="0" w:line="590" w:lineRule="exact"/>
        <w:ind w:firstLine="640" w:firstLineChars="200"/>
        <w:rPr>
          <w:rFonts w:ascii="黑体" w:hAnsi="黑体" w:eastAsia="黑体"/>
          <w:b w:val="0"/>
          <w:sz w:val="32"/>
          <w:szCs w:val="32"/>
        </w:rPr>
      </w:pPr>
      <w:bookmarkStart w:id="12" w:name="_Toc73266737"/>
      <w:r>
        <w:rPr>
          <w:rFonts w:ascii="黑体" w:hAnsi="黑体" w:eastAsia="黑体"/>
          <w:b w:val="0"/>
          <w:sz w:val="32"/>
          <w:szCs w:val="32"/>
        </w:rPr>
        <w:t>三、构建药品安全责任体系</w:t>
      </w:r>
      <w:bookmarkEnd w:id="12"/>
    </w:p>
    <w:p>
      <w:pPr>
        <w:pStyle w:val="10"/>
        <w:spacing w:line="590" w:lineRule="exact"/>
        <w:ind w:firstLine="640" w:firstLineChars="200"/>
        <w:jc w:val="both"/>
        <w:rPr>
          <w:rFonts w:ascii="Times New Roman" w:hAnsi="Times New Roman" w:eastAsia="仿宋_GB2312" w:cs="Times New Roman"/>
          <w:sz w:val="32"/>
          <w:szCs w:val="32"/>
        </w:rPr>
      </w:pPr>
      <w:bookmarkStart w:id="13" w:name="_Toc73266738"/>
      <w:r>
        <w:rPr>
          <w:rStyle w:val="11"/>
          <w:rFonts w:ascii="Times New Roman" w:hAnsi="Times New Roman" w:cs="Times New Roman"/>
          <w:bCs w:val="0"/>
        </w:rPr>
        <w:t>1</w:t>
      </w:r>
      <w:r>
        <w:rPr>
          <w:rStyle w:val="11"/>
          <w:rFonts w:hint="eastAsia" w:ascii="Times New Roman" w:hAnsi="Times New Roman" w:cs="Times New Roman"/>
          <w:bCs w:val="0"/>
        </w:rPr>
        <w:t xml:space="preserve">. </w:t>
      </w:r>
      <w:r>
        <w:rPr>
          <w:rStyle w:val="11"/>
          <w:rFonts w:ascii="Times New Roman" w:hAnsi="Times New Roman" w:cs="Times New Roman"/>
          <w:bCs w:val="0"/>
        </w:rPr>
        <w:t>落实药品安全党政同责</w:t>
      </w:r>
      <w:bookmarkEnd w:id="13"/>
      <w:r>
        <w:rPr>
          <w:rFonts w:ascii="Times New Roman" w:hAnsi="Times New Roman" w:eastAsia="楷体_GB2312" w:cs="Times New Roman"/>
          <w:sz w:val="32"/>
          <w:szCs w:val="32"/>
        </w:rPr>
        <w:t>。</w:t>
      </w:r>
      <w:r>
        <w:rPr>
          <w:rFonts w:ascii="Times New Roman" w:hAnsi="Times New Roman" w:eastAsia="仿宋_GB2312" w:cs="Times New Roman"/>
          <w:sz w:val="32"/>
          <w:szCs w:val="32"/>
        </w:rPr>
        <w:t>认真履行药品安全尤其是疫苗</w:t>
      </w:r>
      <w:r>
        <w:rPr>
          <w:rFonts w:ascii="Times New Roman" w:hAnsi="Times New Roman" w:eastAsia="仿宋_GB2312" w:cs="Times New Roman"/>
          <w:spacing w:val="2"/>
          <w:sz w:val="32"/>
          <w:szCs w:val="32"/>
        </w:rPr>
        <w:t>安全的政治责任，坚持党政同责，做到守土有责、守土尽责。建立健全省市县三级药品安全与发展工作协调机制，统筹协调药品安全与高质量发展全链条事务。落实药品安全属地管理责任，完善市县政府药品安全责任考核评估体系，建立药品安全约谈制度。开展区域药品安全状况评价，建立区域药品安全指数发布机制。</w:t>
      </w:r>
    </w:p>
    <w:p>
      <w:pPr>
        <w:pStyle w:val="10"/>
        <w:spacing w:line="590" w:lineRule="exact"/>
        <w:ind w:firstLine="640" w:firstLineChars="200"/>
        <w:jc w:val="both"/>
        <w:rPr>
          <w:rFonts w:ascii="Times New Roman" w:hAnsi="Times New Roman" w:eastAsia="仿宋_GB2312" w:cs="Times New Roman"/>
          <w:sz w:val="32"/>
          <w:szCs w:val="32"/>
        </w:rPr>
      </w:pPr>
      <w:bookmarkStart w:id="14" w:name="_Toc73266739"/>
      <w:r>
        <w:rPr>
          <w:rStyle w:val="11"/>
          <w:rFonts w:ascii="Times New Roman" w:hAnsi="Times New Roman" w:cs="Times New Roman"/>
          <w:bCs w:val="0"/>
        </w:rPr>
        <w:t>2</w:t>
      </w:r>
      <w:r>
        <w:rPr>
          <w:rStyle w:val="11"/>
          <w:rFonts w:hint="eastAsia" w:ascii="Times New Roman" w:hAnsi="Times New Roman" w:cs="Times New Roman"/>
          <w:bCs w:val="0"/>
        </w:rPr>
        <w:t xml:space="preserve">. </w:t>
      </w:r>
      <w:r>
        <w:rPr>
          <w:rStyle w:val="11"/>
          <w:rFonts w:ascii="Times New Roman" w:hAnsi="Times New Roman" w:cs="Times New Roman"/>
          <w:bCs w:val="0"/>
        </w:rPr>
        <w:t>落实监管部门履职尽责</w:t>
      </w:r>
      <w:bookmarkEnd w:id="14"/>
      <w:r>
        <w:rPr>
          <w:rStyle w:val="11"/>
          <w:rFonts w:ascii="Times New Roman" w:hAnsi="Times New Roman" w:cs="Times New Roman"/>
          <w:bCs w:val="0"/>
        </w:rPr>
        <w:t>。</w:t>
      </w:r>
      <w:bookmarkStart w:id="15" w:name="_Hlk72856661"/>
      <w:r>
        <w:rPr>
          <w:rFonts w:ascii="Times New Roman" w:hAnsi="Times New Roman" w:eastAsia="仿宋_GB2312" w:cs="Times New Roman"/>
          <w:sz w:val="32"/>
          <w:szCs w:val="32"/>
        </w:rPr>
        <w:t>制定各级药品监管部门职责清单，完善省市县三级协同的药品安全风险管控机制。加强省级药品监管部门对市县市场监管部门药品监管工作的监督指导，强化对取消和调整行政审批事项的事中事后监管，督促市县监管职责落实。探索基层药品监管“条抓块统”新机制。</w:t>
      </w:r>
      <w:bookmarkEnd w:id="15"/>
    </w:p>
    <w:p>
      <w:pPr>
        <w:pStyle w:val="10"/>
        <w:spacing w:line="590" w:lineRule="exact"/>
        <w:ind w:firstLine="640" w:firstLineChars="200"/>
        <w:jc w:val="both"/>
        <w:rPr>
          <w:rFonts w:ascii="Times New Roman" w:hAnsi="Times New Roman" w:eastAsia="仿宋_GB2312" w:cs="Times New Roman"/>
          <w:sz w:val="32"/>
          <w:szCs w:val="32"/>
        </w:rPr>
      </w:pPr>
      <w:bookmarkStart w:id="16" w:name="_Toc73266740"/>
      <w:r>
        <w:rPr>
          <w:rStyle w:val="11"/>
          <w:rFonts w:ascii="Times New Roman" w:hAnsi="Times New Roman" w:cs="Times New Roman"/>
          <w:bCs w:val="0"/>
        </w:rPr>
        <w:t>3</w:t>
      </w:r>
      <w:r>
        <w:rPr>
          <w:rStyle w:val="11"/>
          <w:rFonts w:hint="eastAsia" w:ascii="Times New Roman" w:hAnsi="Times New Roman" w:cs="Times New Roman"/>
          <w:bCs w:val="0"/>
        </w:rPr>
        <w:t xml:space="preserve">. </w:t>
      </w:r>
      <w:r>
        <w:rPr>
          <w:rStyle w:val="11"/>
          <w:rFonts w:ascii="Times New Roman" w:hAnsi="Times New Roman" w:cs="Times New Roman"/>
          <w:bCs w:val="0"/>
        </w:rPr>
        <w:t>推动相关部门各负其责</w:t>
      </w:r>
      <w:bookmarkEnd w:id="16"/>
      <w:r>
        <w:rPr>
          <w:rStyle w:val="11"/>
          <w:rFonts w:ascii="Times New Roman" w:hAnsi="Times New Roman" w:cs="Times New Roman"/>
          <w:bCs w:val="0"/>
        </w:rPr>
        <w:t>。</w:t>
      </w:r>
      <w:r>
        <w:rPr>
          <w:rFonts w:ascii="Times New Roman" w:hAnsi="Times New Roman" w:eastAsia="仿宋_GB2312" w:cs="Times New Roman"/>
          <w:sz w:val="32"/>
          <w:szCs w:val="32"/>
        </w:rPr>
        <w:t>制定相关部门药品安全责任清单，完善各负其责、协同监管、信息共享等机制。加强省市县三级食品药品安全委员会及其办公室建设，明确承担具体工作的部门和机构，发挥统筹协调、督查考评等作用，强化跨部门工作协同，形成药品治理合力。</w:t>
      </w:r>
    </w:p>
    <w:p>
      <w:pPr>
        <w:pStyle w:val="10"/>
        <w:spacing w:line="590" w:lineRule="exact"/>
        <w:ind w:firstLine="640" w:firstLineChars="200"/>
        <w:jc w:val="both"/>
        <w:rPr>
          <w:rFonts w:ascii="Times New Roman" w:hAnsi="Times New Roman" w:eastAsia="仿宋_GB2312" w:cs="Times New Roman"/>
          <w:sz w:val="32"/>
          <w:szCs w:val="32"/>
        </w:rPr>
      </w:pPr>
      <w:bookmarkStart w:id="17" w:name="_Toc73266741"/>
      <w:r>
        <w:rPr>
          <w:rStyle w:val="11"/>
          <w:rFonts w:ascii="Times New Roman" w:hAnsi="Times New Roman" w:cs="Times New Roman"/>
          <w:bCs w:val="0"/>
        </w:rPr>
        <w:t>4</w:t>
      </w:r>
      <w:r>
        <w:rPr>
          <w:rStyle w:val="11"/>
          <w:rFonts w:hint="eastAsia" w:ascii="Times New Roman" w:hAnsi="Times New Roman" w:cs="Times New Roman"/>
          <w:bCs w:val="0"/>
        </w:rPr>
        <w:t xml:space="preserve">. </w:t>
      </w:r>
      <w:r>
        <w:rPr>
          <w:rStyle w:val="11"/>
          <w:rFonts w:ascii="Times New Roman" w:hAnsi="Times New Roman" w:cs="Times New Roman"/>
          <w:bCs w:val="0"/>
        </w:rPr>
        <w:t>落实企业主体责任</w:t>
      </w:r>
      <w:bookmarkEnd w:id="17"/>
      <w:r>
        <w:rPr>
          <w:rStyle w:val="11"/>
          <w:rFonts w:ascii="Times New Roman" w:hAnsi="Times New Roman" w:cs="Times New Roman"/>
          <w:bCs w:val="0"/>
        </w:rPr>
        <w:t>。</w:t>
      </w:r>
      <w:r>
        <w:rPr>
          <w:rFonts w:ascii="Times New Roman" w:hAnsi="Times New Roman" w:eastAsia="仿宋_GB2312" w:cs="Times New Roman"/>
          <w:sz w:val="32"/>
          <w:szCs w:val="32"/>
        </w:rPr>
        <w:t>企业是药品质量安全第一责任人，对药品全生命周期质量安全负责。督促药品生产经营企业建立健全质量安全责任体系，围绕消除风险落实产品设计、原料采购、加工制造、出厂放行、储存运输、产品召回、全程追溯等主体责任，从源头杜绝不合格产品进入供应链。推进企业关键岗位人员从业资质管理，实施企业关键岗位全员培训。落实产品质量安全主体责任自查报告制度，药品、医疗器械、化妆品生产企业年度报告执行率100%。</w:t>
      </w: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18" w:name="_Toc73266846"/>
            <w:r>
              <w:rPr>
                <w:rFonts w:eastAsia="黑体"/>
                <w:b w:val="0"/>
                <w:bCs w:val="0"/>
                <w:sz w:val="28"/>
                <w:szCs w:val="28"/>
              </w:rPr>
              <w:t>专栏1</w:t>
            </w:r>
            <w:r>
              <w:rPr>
                <w:rFonts w:hint="eastAsia" w:eastAsia="黑体"/>
                <w:b w:val="0"/>
                <w:bCs w:val="0"/>
                <w:sz w:val="28"/>
                <w:szCs w:val="28"/>
              </w:rPr>
              <w:t xml:space="preserve"> </w:t>
            </w:r>
            <w:r>
              <w:rPr>
                <w:rFonts w:eastAsia="黑体"/>
                <w:b w:val="0"/>
                <w:bCs w:val="0"/>
                <w:sz w:val="28"/>
                <w:szCs w:val="28"/>
              </w:rPr>
              <w:t xml:space="preserve"> 省域药品安全治理“清单式”改革</w:t>
            </w:r>
            <w:bookmarkEnd w:id="18"/>
          </w:p>
          <w:p>
            <w:pPr>
              <w:spacing w:line="360" w:lineRule="exact"/>
              <w:ind w:firstLine="480" w:firstLineChars="200"/>
              <w:rPr>
                <w:bCs/>
                <w:kern w:val="0"/>
                <w:sz w:val="24"/>
              </w:rPr>
            </w:pPr>
            <w:r>
              <w:rPr>
                <w:rFonts w:eastAsia="楷体_GB2312"/>
                <w:kern w:val="0"/>
                <w:sz w:val="24"/>
              </w:rPr>
              <w:t>1. 制定药品安全责任清单</w:t>
            </w:r>
            <w:r>
              <w:rPr>
                <w:rFonts w:eastAsia="楷体_GB2312"/>
                <w:bCs/>
                <w:kern w:val="0"/>
                <w:sz w:val="24"/>
              </w:rPr>
              <w:t>。</w:t>
            </w:r>
            <w:r>
              <w:rPr>
                <w:bCs/>
                <w:kern w:val="0"/>
                <w:sz w:val="24"/>
              </w:rPr>
              <w:t>全面梳理完善党委领导职责、政府行政职责、药品监管部门及相关部门职责等药品安全责任清单，遵循“依单履责、照单考核”原则，系统构建指标体系、工作体系、政策体系、评价体系，确保药品安全责任落实到位；建立药品监管履职容错免责机制。</w:t>
            </w:r>
          </w:p>
          <w:p>
            <w:pPr>
              <w:spacing w:line="360" w:lineRule="exact"/>
              <w:ind w:firstLine="480" w:firstLineChars="200"/>
              <w:rPr>
                <w:bCs/>
                <w:kern w:val="0"/>
                <w:sz w:val="24"/>
              </w:rPr>
            </w:pPr>
            <w:r>
              <w:rPr>
                <w:rFonts w:eastAsia="楷体_GB2312"/>
                <w:kern w:val="0"/>
                <w:sz w:val="24"/>
              </w:rPr>
              <w:t>2.</w:t>
            </w:r>
            <w:r>
              <w:rPr>
                <w:rFonts w:hint="eastAsia" w:eastAsia="楷体_GB2312"/>
                <w:kern w:val="0"/>
                <w:sz w:val="24"/>
              </w:rPr>
              <w:t xml:space="preserve"> </w:t>
            </w:r>
            <w:r>
              <w:rPr>
                <w:rFonts w:eastAsia="楷体_GB2312"/>
                <w:kern w:val="0"/>
                <w:sz w:val="24"/>
              </w:rPr>
              <w:t>开展区域药品安全评价。</w:t>
            </w:r>
            <w:r>
              <w:rPr>
                <w:bCs/>
                <w:kern w:val="0"/>
                <w:sz w:val="24"/>
              </w:rPr>
              <w:t>基于现代管理理念与大数据技术，融合行政许可、监管检查、监督抽检、行政处罚、公共信用评价等相关数据，研究构建多维关联性区域药品安全指标体系，全面、客观、准确评估区域药品安全状况，探索建立区域药品安全指数发布机制，提升药品安全工作的精准性和靶向性。</w:t>
            </w:r>
          </w:p>
          <w:p>
            <w:pPr>
              <w:spacing w:line="360" w:lineRule="exact"/>
              <w:ind w:firstLine="480" w:firstLineChars="200"/>
              <w:rPr>
                <w:kern w:val="0"/>
                <w:sz w:val="24"/>
              </w:rPr>
            </w:pPr>
            <w:r>
              <w:rPr>
                <w:rFonts w:eastAsia="楷体_GB2312"/>
                <w:kern w:val="0"/>
                <w:sz w:val="24"/>
              </w:rPr>
              <w:t>3.</w:t>
            </w:r>
            <w:r>
              <w:rPr>
                <w:rFonts w:hint="eastAsia" w:eastAsia="楷体_GB2312"/>
                <w:kern w:val="0"/>
                <w:sz w:val="24"/>
              </w:rPr>
              <w:t xml:space="preserve"> </w:t>
            </w:r>
            <w:r>
              <w:rPr>
                <w:rFonts w:eastAsia="楷体_GB2312"/>
                <w:kern w:val="0"/>
                <w:sz w:val="24"/>
              </w:rPr>
              <w:t>构建药品安全责任落实体系。</w:t>
            </w:r>
            <w:r>
              <w:rPr>
                <w:bCs/>
                <w:kern w:val="0"/>
                <w:sz w:val="24"/>
              </w:rPr>
              <w:t>建立健全省市县三级药品安全与发展工作协调机制、药品安全责任考评制度、药品安全约谈制度、药品安全工作信息共享机制等。</w:t>
            </w:r>
          </w:p>
        </w:tc>
      </w:tr>
    </w:tbl>
    <w:p>
      <w:pPr>
        <w:pStyle w:val="2"/>
        <w:keepNext w:val="0"/>
        <w:keepLines w:val="0"/>
        <w:spacing w:before="0" w:after="0" w:line="590" w:lineRule="exact"/>
        <w:ind w:firstLine="640" w:firstLineChars="200"/>
        <w:rPr>
          <w:rFonts w:ascii="黑体" w:hAnsi="黑体" w:eastAsia="黑体"/>
          <w:b w:val="0"/>
          <w:sz w:val="32"/>
          <w:szCs w:val="32"/>
        </w:rPr>
      </w:pPr>
      <w:bookmarkStart w:id="19" w:name="_Toc73266742"/>
      <w:r>
        <w:rPr>
          <w:rFonts w:ascii="黑体" w:hAnsi="黑体" w:eastAsia="黑体"/>
          <w:b w:val="0"/>
          <w:sz w:val="32"/>
          <w:szCs w:val="32"/>
        </w:rPr>
        <w:t>四、构建药品安全法治体系</w:t>
      </w:r>
      <w:bookmarkEnd w:id="19"/>
    </w:p>
    <w:p>
      <w:pPr>
        <w:spacing w:line="590" w:lineRule="exact"/>
        <w:ind w:firstLine="640" w:firstLineChars="200"/>
        <w:rPr>
          <w:szCs w:val="32"/>
        </w:rPr>
      </w:pPr>
      <w:bookmarkStart w:id="20" w:name="_Toc73266743"/>
      <w:r>
        <w:rPr>
          <w:rStyle w:val="11"/>
          <w:rFonts w:ascii="Times New Roman" w:hAnsi="Times New Roman"/>
        </w:rPr>
        <w:t>5</w:t>
      </w:r>
      <w:r>
        <w:rPr>
          <w:rStyle w:val="11"/>
          <w:rFonts w:hint="eastAsia" w:ascii="Times New Roman" w:hAnsi="Times New Roman"/>
        </w:rPr>
        <w:t xml:space="preserve">. </w:t>
      </w:r>
      <w:r>
        <w:rPr>
          <w:rStyle w:val="11"/>
          <w:rFonts w:ascii="Times New Roman" w:hAnsi="Times New Roman"/>
        </w:rPr>
        <w:t>健全药品安全法规制度体系</w:t>
      </w:r>
      <w:bookmarkEnd w:id="20"/>
      <w:r>
        <w:rPr>
          <w:rFonts w:eastAsia="楷体_GB2312"/>
          <w:bCs/>
          <w:szCs w:val="32"/>
        </w:rPr>
        <w:t>。</w:t>
      </w:r>
      <w:r>
        <w:rPr>
          <w:szCs w:val="32"/>
        </w:rPr>
        <w:t>深入贯彻习近平法治思想，全面落实《中华人民共和国药品管理法》《中华人民共和国中医药法》《中华人民共和国疫苗管理法》和《医疗器械监督管理条例》《化妆品监督管理条例》，着眼省域药品安全治理现代化，推动制定药品和医疗器械管理综合地方立法，修订相关政府规章，建立健全疫苗安全监管制度，根据需要制定药品医疗器械化妆品生产、流通、使用环节监管配套制度。探索建立新技术、新业态、新模式包容审慎监管制度。健全制度实施评估机制，及时跟踪、评估、调整、清理相关制度及规范性文件，提升监管制度化、规范化水平。</w:t>
      </w:r>
    </w:p>
    <w:p>
      <w:pPr>
        <w:spacing w:line="590" w:lineRule="exact"/>
        <w:ind w:firstLine="640" w:firstLineChars="200"/>
        <w:rPr>
          <w:szCs w:val="32"/>
        </w:rPr>
      </w:pPr>
      <w:bookmarkStart w:id="21" w:name="_Toc73266744"/>
      <w:r>
        <w:rPr>
          <w:rStyle w:val="11"/>
          <w:rFonts w:ascii="Times New Roman" w:hAnsi="Times New Roman"/>
        </w:rPr>
        <w:t>6</w:t>
      </w:r>
      <w:r>
        <w:rPr>
          <w:rStyle w:val="11"/>
          <w:rFonts w:hint="eastAsia" w:ascii="Times New Roman" w:hAnsi="Times New Roman"/>
        </w:rPr>
        <w:t xml:space="preserve">. </w:t>
      </w:r>
      <w:r>
        <w:rPr>
          <w:rStyle w:val="11"/>
          <w:rFonts w:ascii="Times New Roman" w:hAnsi="Times New Roman"/>
        </w:rPr>
        <w:t>深化重点领域标准制修订</w:t>
      </w:r>
      <w:bookmarkEnd w:id="21"/>
      <w:r>
        <w:rPr>
          <w:rStyle w:val="11"/>
          <w:rFonts w:ascii="Times New Roman" w:hAnsi="Times New Roman"/>
        </w:rPr>
        <w:t>。</w:t>
      </w:r>
      <w:r>
        <w:rPr>
          <w:szCs w:val="32"/>
        </w:rPr>
        <w:t>加快完善政府主导、企业主体、社会参与的相关标准工作机制。贯彻实施2020年版《中华人民共和国药典》，积极参与国家药品安全标准制修订工作。动态更新《浙江省中药炮制规范》，提高地方中药材、中药饮片、中药配方颗粒等质量标准水平。深化医用光学等医疗器械领域标准体系研究和建设，构建高水平标准化工作平台，开展医疗器械检测新方法、新技术、新设备、新装置、新标准物质的创新开发，建立和完善符合行业发展新趋势的标准体系。制修订化妆品相关标准。开展对国际先进技术规范、标准和合格评定程序制修订情况的跟踪研究，参与国际标准制修订，推动与国际技术标准接轨。建立相关标准的评估、退出机制。</w:t>
      </w:r>
    </w:p>
    <w:p>
      <w:pPr>
        <w:spacing w:line="590" w:lineRule="exact"/>
        <w:ind w:firstLine="640" w:firstLineChars="200"/>
        <w:rPr>
          <w:szCs w:val="32"/>
        </w:rPr>
      </w:pPr>
      <w:bookmarkStart w:id="22" w:name="_Toc73266745"/>
      <w:r>
        <w:rPr>
          <w:rStyle w:val="11"/>
          <w:rFonts w:ascii="Times New Roman" w:hAnsi="Times New Roman"/>
        </w:rPr>
        <w:t>7</w:t>
      </w:r>
      <w:r>
        <w:rPr>
          <w:rStyle w:val="11"/>
          <w:rFonts w:hint="eastAsia" w:ascii="Times New Roman" w:hAnsi="Times New Roman"/>
        </w:rPr>
        <w:t xml:space="preserve">. </w:t>
      </w:r>
      <w:r>
        <w:rPr>
          <w:rStyle w:val="11"/>
          <w:rFonts w:ascii="Times New Roman" w:hAnsi="Times New Roman"/>
        </w:rPr>
        <w:t>完善技术指导原则体系</w:t>
      </w:r>
      <w:bookmarkEnd w:id="22"/>
      <w:r>
        <w:rPr>
          <w:rStyle w:val="11"/>
          <w:rFonts w:ascii="Times New Roman" w:hAnsi="Times New Roman"/>
        </w:rPr>
        <w:t>。</w:t>
      </w:r>
      <w:r>
        <w:rPr>
          <w:szCs w:val="32"/>
        </w:rPr>
        <w:t>积极参与国家药品监管技术指南的制修订，依职责制修订药品生产、经营质量管理规范和技术指南、医疗器械注册技术审查、申报技术指南、化妆品备案、审评等指导原则，提升药品监管技术审查的科学性、权威性。</w:t>
      </w:r>
    </w:p>
    <w:p>
      <w:pPr>
        <w:spacing w:line="590" w:lineRule="exact"/>
        <w:ind w:firstLine="640" w:firstLineChars="200"/>
        <w:rPr>
          <w:szCs w:val="32"/>
        </w:rPr>
      </w:pPr>
      <w:bookmarkStart w:id="23" w:name="_Toc73266746"/>
      <w:r>
        <w:rPr>
          <w:rStyle w:val="11"/>
          <w:rFonts w:ascii="Times New Roman" w:hAnsi="Times New Roman"/>
        </w:rPr>
        <w:t>8</w:t>
      </w:r>
      <w:r>
        <w:rPr>
          <w:rStyle w:val="11"/>
          <w:rFonts w:hint="eastAsia" w:ascii="Times New Roman" w:hAnsi="Times New Roman"/>
        </w:rPr>
        <w:t xml:space="preserve">. </w:t>
      </w:r>
      <w:r>
        <w:rPr>
          <w:rStyle w:val="11"/>
          <w:rFonts w:ascii="Times New Roman" w:hAnsi="Times New Roman"/>
        </w:rPr>
        <w:t>提升监管执法效能</w:t>
      </w:r>
      <w:bookmarkEnd w:id="23"/>
      <w:r>
        <w:rPr>
          <w:rStyle w:val="11"/>
          <w:rFonts w:ascii="Times New Roman" w:hAnsi="Times New Roman"/>
        </w:rPr>
        <w:t>。</w:t>
      </w:r>
      <w:r>
        <w:rPr>
          <w:szCs w:val="32"/>
        </w:rPr>
        <w:t>牢固树立依法行政理念，推动药品安全工作的机构职权、制度供给、政务服务、行政执法等全面纳入法治轨道，提升重大行政决策法治化水平，提升监管执法质量、效率和公信力，发挥公职律师、法律顾问、技术专家咨询论证作用。深化综合执法改革，加强基层药品执法能力建设。推进监管执法数字化转型，开展药品检查“综合查一次”改革。加强药品、医疗器械、化妆品广告监督检查，严查虚假违法广告。</w:t>
      </w: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24" w:name="_Toc73266847"/>
            <w:r>
              <w:rPr>
                <w:rFonts w:eastAsia="黑体"/>
                <w:b w:val="0"/>
                <w:bCs w:val="0"/>
                <w:sz w:val="28"/>
                <w:szCs w:val="28"/>
              </w:rPr>
              <w:t>专栏2</w:t>
            </w:r>
            <w:r>
              <w:rPr>
                <w:rFonts w:hint="eastAsia" w:eastAsia="黑体"/>
                <w:b w:val="0"/>
                <w:bCs w:val="0"/>
                <w:sz w:val="28"/>
                <w:szCs w:val="28"/>
              </w:rPr>
              <w:t xml:space="preserve"> </w:t>
            </w:r>
            <w:r>
              <w:rPr>
                <w:rFonts w:eastAsia="黑体"/>
                <w:b w:val="0"/>
                <w:bCs w:val="0"/>
                <w:sz w:val="28"/>
                <w:szCs w:val="28"/>
              </w:rPr>
              <w:t xml:space="preserve"> 药品安全法治体系建设工程</w:t>
            </w:r>
            <w:bookmarkEnd w:id="24"/>
          </w:p>
          <w:p>
            <w:pPr>
              <w:spacing w:line="360" w:lineRule="exact"/>
              <w:ind w:firstLine="480" w:firstLineChars="200"/>
              <w:rPr>
                <w:bCs/>
                <w:kern w:val="0"/>
                <w:sz w:val="24"/>
              </w:rPr>
            </w:pPr>
            <w:r>
              <w:rPr>
                <w:rFonts w:eastAsia="楷体_GB2312"/>
                <w:kern w:val="0"/>
                <w:sz w:val="24"/>
              </w:rPr>
              <w:t>1.</w:t>
            </w:r>
            <w:r>
              <w:rPr>
                <w:rFonts w:hint="eastAsia" w:eastAsia="楷体_GB2312"/>
                <w:kern w:val="0"/>
                <w:sz w:val="24"/>
              </w:rPr>
              <w:t xml:space="preserve"> </w:t>
            </w:r>
            <w:r>
              <w:rPr>
                <w:rFonts w:eastAsia="楷体_GB2312"/>
                <w:kern w:val="0"/>
                <w:sz w:val="24"/>
              </w:rPr>
              <w:t>加强法规制度建设。</w:t>
            </w:r>
            <w:r>
              <w:rPr>
                <w:bCs/>
                <w:kern w:val="0"/>
                <w:sz w:val="24"/>
              </w:rPr>
              <w:t>推动制定药品和医疗器械管理综合地方立法，修订相关政府规章；制修订药品注册检验管理办法、药品生产许可和监督管理办法、违法案件行政处罚自由裁量标准、药品不良反应监测评价等制度，以及药品生产经营新模式、新业态的审慎监管制度。贯彻落实新修订《医疗器械监督管理条例》《化妆品监督管理条例》，根据需要制定生产、流通、使用环节监管配套制度。</w:t>
            </w:r>
          </w:p>
          <w:p>
            <w:pPr>
              <w:spacing w:line="360" w:lineRule="exact"/>
              <w:ind w:firstLine="480" w:firstLineChars="200"/>
              <w:rPr>
                <w:bCs/>
                <w:kern w:val="0"/>
                <w:sz w:val="24"/>
              </w:rPr>
            </w:pPr>
            <w:r>
              <w:rPr>
                <w:rFonts w:eastAsia="楷体_GB2312"/>
                <w:kern w:val="0"/>
                <w:sz w:val="24"/>
              </w:rPr>
              <w:t>2.</w:t>
            </w:r>
            <w:r>
              <w:rPr>
                <w:rFonts w:hint="eastAsia" w:eastAsia="楷体_GB2312"/>
                <w:kern w:val="0"/>
                <w:sz w:val="24"/>
              </w:rPr>
              <w:t xml:space="preserve"> </w:t>
            </w:r>
            <w:r>
              <w:rPr>
                <w:rFonts w:eastAsia="楷体_GB2312"/>
                <w:kern w:val="0"/>
                <w:sz w:val="24"/>
              </w:rPr>
              <w:t>加强产品标准建设。</w:t>
            </w:r>
            <w:r>
              <w:rPr>
                <w:bCs/>
                <w:kern w:val="0"/>
                <w:sz w:val="24"/>
              </w:rPr>
              <w:t>“十四五”期间，制修订药品、医疗器械、化妆品标准100个，其中药品标准75个、医疗器械标准15个、化妆品标准10个；开展中药材地方标准研究20个、中药配方颗粒质量标准研究50个。</w:t>
            </w:r>
          </w:p>
          <w:p>
            <w:pPr>
              <w:spacing w:line="360" w:lineRule="exact"/>
              <w:ind w:firstLine="480" w:firstLineChars="200"/>
              <w:rPr>
                <w:bCs/>
                <w:kern w:val="0"/>
                <w:sz w:val="24"/>
              </w:rPr>
            </w:pPr>
            <w:r>
              <w:rPr>
                <w:rFonts w:eastAsia="楷体_GB2312"/>
                <w:kern w:val="0"/>
                <w:sz w:val="24"/>
              </w:rPr>
              <w:t>3.</w:t>
            </w:r>
            <w:r>
              <w:rPr>
                <w:rFonts w:hint="eastAsia" w:eastAsia="楷体_GB2312"/>
                <w:kern w:val="0"/>
                <w:sz w:val="24"/>
              </w:rPr>
              <w:t xml:space="preserve"> </w:t>
            </w:r>
            <w:r>
              <w:rPr>
                <w:rFonts w:eastAsia="楷体_GB2312"/>
                <w:kern w:val="0"/>
                <w:sz w:val="24"/>
              </w:rPr>
              <w:t>加强指导原则建设。</w:t>
            </w:r>
            <w:r>
              <w:rPr>
                <w:bCs/>
                <w:kern w:val="0"/>
                <w:sz w:val="24"/>
              </w:rPr>
              <w:t>制修订委托经营质量协议撰写指南、药品审评技术指南、药品变更技术指导原则；制修订第二类创新医疗器械特别审查申报技术指南、医疗器械审评技术指南；制订化妆品技术审评（内审）指导原则。</w:t>
            </w:r>
          </w:p>
        </w:tc>
      </w:tr>
    </w:tbl>
    <w:p>
      <w:pPr>
        <w:pStyle w:val="10"/>
        <w:spacing w:line="590" w:lineRule="exact"/>
        <w:ind w:firstLine="640" w:firstLineChars="200"/>
        <w:jc w:val="both"/>
        <w:rPr>
          <w:rFonts w:ascii="Times New Roman" w:hAnsi="Times New Roman" w:eastAsia="仿宋_GB2312" w:cs="Times New Roman"/>
          <w:sz w:val="32"/>
          <w:szCs w:val="32"/>
        </w:rPr>
      </w:pP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25" w:name="_Toc73266848"/>
            <w:r>
              <w:rPr>
                <w:rFonts w:eastAsia="黑体"/>
                <w:b w:val="0"/>
                <w:bCs w:val="0"/>
                <w:sz w:val="28"/>
                <w:szCs w:val="28"/>
              </w:rPr>
              <w:t>专栏3</w:t>
            </w:r>
            <w:r>
              <w:rPr>
                <w:rFonts w:hint="eastAsia" w:eastAsia="黑体"/>
                <w:b w:val="0"/>
                <w:bCs w:val="0"/>
                <w:sz w:val="28"/>
                <w:szCs w:val="28"/>
              </w:rPr>
              <w:t xml:space="preserve"> </w:t>
            </w:r>
            <w:r>
              <w:rPr>
                <w:rFonts w:eastAsia="黑体"/>
                <w:b w:val="0"/>
                <w:bCs w:val="0"/>
                <w:sz w:val="28"/>
                <w:szCs w:val="28"/>
              </w:rPr>
              <w:t xml:space="preserve"> 药品检查“综合查一次”改革</w:t>
            </w:r>
            <w:bookmarkEnd w:id="25"/>
          </w:p>
          <w:p>
            <w:pPr>
              <w:spacing w:line="360" w:lineRule="exact"/>
              <w:ind w:firstLine="480" w:firstLineChars="200"/>
              <w:rPr>
                <w:kern w:val="0"/>
                <w:sz w:val="24"/>
              </w:rPr>
            </w:pPr>
            <w:r>
              <w:rPr>
                <w:kern w:val="0"/>
                <w:sz w:val="24"/>
              </w:rPr>
              <w:t>应用浙江省行政执法监管平台（“互联网+监管”平台），建立省市县“联合查”、药械化“一次查”等机制，通过一次执法，完成对同一执法对象的多个事项检查，做到“一次检查、全面体检、综合会诊、精准施策”。</w:t>
            </w:r>
          </w:p>
        </w:tc>
      </w:tr>
    </w:tbl>
    <w:p>
      <w:pPr>
        <w:pStyle w:val="2"/>
        <w:keepNext w:val="0"/>
        <w:keepLines w:val="0"/>
        <w:spacing w:before="120" w:beforeLines="50" w:after="0" w:line="590" w:lineRule="exact"/>
        <w:ind w:firstLine="640" w:firstLineChars="200"/>
        <w:rPr>
          <w:rFonts w:ascii="黑体" w:hAnsi="黑体" w:eastAsia="黑体"/>
          <w:b w:val="0"/>
          <w:sz w:val="32"/>
          <w:szCs w:val="32"/>
        </w:rPr>
      </w:pPr>
      <w:bookmarkStart w:id="26" w:name="_Toc73266747"/>
      <w:r>
        <w:rPr>
          <w:rFonts w:ascii="黑体" w:hAnsi="黑体" w:eastAsia="黑体"/>
          <w:b w:val="0"/>
          <w:sz w:val="32"/>
          <w:szCs w:val="32"/>
        </w:rPr>
        <w:t>五、构建药品安全专业监管体系</w:t>
      </w:r>
      <w:bookmarkEnd w:id="26"/>
    </w:p>
    <w:p>
      <w:pPr>
        <w:spacing w:line="590" w:lineRule="exact"/>
        <w:ind w:firstLine="640" w:firstLineChars="200"/>
        <w:rPr>
          <w:szCs w:val="32"/>
        </w:rPr>
      </w:pPr>
      <w:bookmarkStart w:id="27" w:name="_Toc73266748"/>
      <w:bookmarkStart w:id="28" w:name="_Hlk53968414"/>
      <w:r>
        <w:rPr>
          <w:rStyle w:val="11"/>
          <w:rFonts w:ascii="Times New Roman" w:hAnsi="Times New Roman"/>
        </w:rPr>
        <w:t>9</w:t>
      </w:r>
      <w:r>
        <w:rPr>
          <w:rStyle w:val="11"/>
          <w:rFonts w:hint="eastAsia" w:ascii="Times New Roman" w:hAnsi="Times New Roman"/>
        </w:rPr>
        <w:t xml:space="preserve">. </w:t>
      </w:r>
      <w:r>
        <w:rPr>
          <w:rStyle w:val="11"/>
          <w:rFonts w:ascii="Times New Roman" w:hAnsi="Times New Roman"/>
        </w:rPr>
        <w:t>构建协同监管体系</w:t>
      </w:r>
      <w:bookmarkEnd w:id="27"/>
      <w:r>
        <w:rPr>
          <w:rFonts w:eastAsia="楷体_GB2312"/>
          <w:bCs/>
          <w:szCs w:val="32"/>
        </w:rPr>
        <w:t>。</w:t>
      </w:r>
      <w:r>
        <w:rPr>
          <w:szCs w:val="32"/>
        </w:rPr>
        <w:t>发挥市场监管体制综合优势，按照风险管控原则，优化完善省市县三级药品监管职责，构建分类监管机制和协同监管体系，确保监管责任与属地责任的有机统一、有序衔接，强化药品全生命周期监管协同，形成药品监管工作全省一盘棋格局。</w:t>
      </w:r>
    </w:p>
    <w:p>
      <w:pPr>
        <w:spacing w:line="590" w:lineRule="exact"/>
        <w:ind w:firstLine="640" w:firstLineChars="200"/>
        <w:rPr>
          <w:szCs w:val="32"/>
        </w:rPr>
      </w:pPr>
      <w:bookmarkStart w:id="29" w:name="_Toc73266749"/>
      <w:r>
        <w:rPr>
          <w:rStyle w:val="11"/>
          <w:rFonts w:ascii="Times New Roman" w:hAnsi="Times New Roman"/>
        </w:rPr>
        <w:t>10</w:t>
      </w:r>
      <w:r>
        <w:rPr>
          <w:rStyle w:val="11"/>
          <w:rFonts w:hint="eastAsia" w:ascii="Times New Roman" w:hAnsi="Times New Roman"/>
        </w:rPr>
        <w:t xml:space="preserve">. </w:t>
      </w:r>
      <w:r>
        <w:rPr>
          <w:rStyle w:val="11"/>
          <w:rFonts w:ascii="Times New Roman" w:hAnsi="Times New Roman"/>
        </w:rPr>
        <w:t>构建职业检查体系</w:t>
      </w:r>
      <w:bookmarkEnd w:id="29"/>
      <w:r>
        <w:rPr>
          <w:rStyle w:val="11"/>
          <w:rFonts w:ascii="Times New Roman" w:hAnsi="Times New Roman"/>
        </w:rPr>
        <w:t>。</w:t>
      </w:r>
      <w:r>
        <w:rPr>
          <w:szCs w:val="32"/>
        </w:rPr>
        <w:t>依托现有资源加强省市两级药品检查机构和职业化专业化检查员队伍建设，完善市级药品检查员统一调派机制，组织实施药品职业检查“双百尖兵”工程，构建“专职检查员+兼职检查员+购买检查服务”的队伍建设模式和有效满足各级药品监管工作需求、与产业规模相适应的检查员队伍体系。实行检查员分级分类管理，健全检查管理制度、质量保证体系、激励机制和工作体系，提升检查员业务素质。强化检查工作数字化支撑，推动现场检查工作标准化规范化。鼓励市县从事药品检验检测等人员取得药品检查员资格，参与药品检查工作。</w:t>
      </w:r>
    </w:p>
    <w:p>
      <w:pPr>
        <w:spacing w:line="590" w:lineRule="exact"/>
        <w:ind w:firstLine="640" w:firstLineChars="200"/>
        <w:rPr>
          <w:szCs w:val="32"/>
        </w:rPr>
      </w:pPr>
      <w:bookmarkStart w:id="30" w:name="_Toc73266750"/>
      <w:r>
        <w:rPr>
          <w:rStyle w:val="11"/>
          <w:rFonts w:ascii="Times New Roman" w:hAnsi="Times New Roman"/>
        </w:rPr>
        <w:t>11</w:t>
      </w:r>
      <w:r>
        <w:rPr>
          <w:rStyle w:val="11"/>
          <w:rFonts w:hint="eastAsia" w:ascii="Times New Roman" w:hAnsi="Times New Roman"/>
        </w:rPr>
        <w:t xml:space="preserve">. </w:t>
      </w:r>
      <w:r>
        <w:rPr>
          <w:rStyle w:val="11"/>
          <w:rFonts w:ascii="Times New Roman" w:hAnsi="Times New Roman"/>
        </w:rPr>
        <w:t>构建稽查办案体系</w:t>
      </w:r>
      <w:bookmarkEnd w:id="30"/>
      <w:r>
        <w:rPr>
          <w:rStyle w:val="11"/>
          <w:rFonts w:ascii="Times New Roman" w:hAnsi="Times New Roman"/>
        </w:rPr>
        <w:t>。</w:t>
      </w:r>
      <w:r>
        <w:rPr>
          <w:szCs w:val="32"/>
        </w:rPr>
        <w:t>组织实施药品稽查执法“雄鹰”工程，加强药品稽查队伍建设，强化检查稽查协同和执法联动，完善省级市场监管与药品监管工作机制。推动落实市县药品监管能力标准化建设要求，市县级市场监管部门要在综合执法队伍中加强药品监管执法力量配备，确保其具备与监管事权相匹配的专业监管人员、经费和设备等条件。完善药品安全行管衔接、行刑衔接机制，加强各级药品监管部门与公安等部门间的联动协作，及时通报重大案件信息、移送涉嫌药品犯罪案件。强化重点问题整治，落实“处罚到人”措施，严厉打击药品尤其是疫苗违法犯罪行为。加大对利用社群和新营销模式销售药品医疗器械化妆品违法违规行为的查处力度。建立健全区域协作、证据互认、信息共享等跨区域跨层级稽查协作机制。</w:t>
      </w:r>
    </w:p>
    <w:p>
      <w:pPr>
        <w:spacing w:line="590" w:lineRule="exact"/>
        <w:ind w:firstLine="640" w:firstLineChars="200"/>
        <w:rPr>
          <w:szCs w:val="32"/>
        </w:rPr>
      </w:pPr>
      <w:bookmarkStart w:id="31" w:name="_Toc73266751"/>
      <w:r>
        <w:rPr>
          <w:rStyle w:val="11"/>
          <w:rFonts w:ascii="Times New Roman" w:hAnsi="Times New Roman"/>
        </w:rPr>
        <w:t>12</w:t>
      </w:r>
      <w:r>
        <w:rPr>
          <w:rStyle w:val="11"/>
          <w:rFonts w:hint="eastAsia" w:ascii="Times New Roman" w:hAnsi="Times New Roman"/>
        </w:rPr>
        <w:t xml:space="preserve">. </w:t>
      </w:r>
      <w:r>
        <w:rPr>
          <w:rStyle w:val="11"/>
          <w:rFonts w:ascii="Times New Roman" w:hAnsi="Times New Roman"/>
        </w:rPr>
        <w:t>提升干部队伍专业素质</w:t>
      </w:r>
      <w:bookmarkEnd w:id="31"/>
      <w:r>
        <w:rPr>
          <w:rStyle w:val="11"/>
          <w:rFonts w:ascii="Times New Roman" w:hAnsi="Times New Roman"/>
        </w:rPr>
        <w:t>。</w:t>
      </w:r>
      <w:r>
        <w:rPr>
          <w:szCs w:val="32"/>
        </w:rPr>
        <w:t>实施“药基”夯实工程、“药匠”培育工程，提升药品专业监管、依法监管和数字化转型能力，改革和完善药品监管人才引进、培育、激励等制度机制，形成政治坚定、素质优良、数量充足、结构合理的药品监管人才队伍。发挥国家药监局高研院长三角教学基地等载体作用，按照分类分级、精准施训、学以致用、注重实效的原则，实现领导干部、业务骨干、基层干部、新入职干部和师资队伍培训全覆盖，专业素养、法律素养、数字素质得到强化，运用法治思维、专业手段、数字化技术的综合能力显著提升。</w:t>
      </w: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32" w:name="_Toc73266849"/>
            <w:r>
              <w:rPr>
                <w:rFonts w:eastAsia="黑体"/>
                <w:b w:val="0"/>
                <w:bCs w:val="0"/>
                <w:sz w:val="28"/>
                <w:szCs w:val="28"/>
              </w:rPr>
              <w:t xml:space="preserve">专栏4 </w:t>
            </w:r>
            <w:r>
              <w:rPr>
                <w:rFonts w:hint="eastAsia" w:eastAsia="黑体"/>
                <w:b w:val="0"/>
                <w:bCs w:val="0"/>
                <w:sz w:val="28"/>
                <w:szCs w:val="28"/>
              </w:rPr>
              <w:t xml:space="preserve"> </w:t>
            </w:r>
            <w:r>
              <w:rPr>
                <w:rFonts w:eastAsia="黑体"/>
                <w:b w:val="0"/>
                <w:bCs w:val="0"/>
                <w:sz w:val="28"/>
                <w:szCs w:val="28"/>
              </w:rPr>
              <w:t>职业检查“双百尖兵”工程</w:t>
            </w:r>
            <w:bookmarkEnd w:id="32"/>
          </w:p>
          <w:p>
            <w:pPr>
              <w:spacing w:line="360" w:lineRule="exact"/>
              <w:ind w:firstLine="480" w:firstLineChars="200"/>
              <w:rPr>
                <w:kern w:val="0"/>
                <w:sz w:val="24"/>
              </w:rPr>
            </w:pPr>
            <w:r>
              <w:rPr>
                <w:kern w:val="0"/>
                <w:sz w:val="24"/>
              </w:rPr>
              <w:t>贯</w:t>
            </w:r>
            <w:r>
              <w:rPr>
                <w:spacing w:val="2"/>
                <w:kern w:val="0"/>
                <w:sz w:val="24"/>
              </w:rPr>
              <w:t>彻落实国务院办公厅《关于建立职业化专业化药品检查员队伍的意见》精神，实施职业检查“双百尖兵”工程，构建教、学、练、检一体化培训教育机制，全面提升药品检查员专业素质和检查能力，建立一支政治过硬、素质优良、业务精湛、廉洁高效的职业化专业化药品检查员队伍。到2023年末，累计培养200名优秀检查组长。</w:t>
            </w:r>
          </w:p>
        </w:tc>
      </w:tr>
    </w:tbl>
    <w:p>
      <w:pPr>
        <w:spacing w:line="300" w:lineRule="exact"/>
        <w:ind w:firstLine="640" w:firstLineChars="200"/>
        <w:rPr>
          <w:szCs w:val="32"/>
        </w:rPr>
      </w:pP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33" w:name="_Toc73266850"/>
            <w:r>
              <w:rPr>
                <w:rFonts w:eastAsia="黑体"/>
                <w:b w:val="0"/>
                <w:bCs w:val="0"/>
                <w:sz w:val="28"/>
                <w:szCs w:val="28"/>
              </w:rPr>
              <w:t xml:space="preserve">专栏5 </w:t>
            </w:r>
            <w:r>
              <w:rPr>
                <w:rFonts w:hint="eastAsia" w:eastAsia="黑体"/>
                <w:b w:val="0"/>
                <w:bCs w:val="0"/>
                <w:sz w:val="28"/>
                <w:szCs w:val="28"/>
              </w:rPr>
              <w:t xml:space="preserve"> </w:t>
            </w:r>
            <w:r>
              <w:rPr>
                <w:rFonts w:eastAsia="黑体"/>
                <w:b w:val="0"/>
                <w:bCs w:val="0"/>
                <w:sz w:val="28"/>
                <w:szCs w:val="28"/>
              </w:rPr>
              <w:t>稽查执法“雄鹰”工程</w:t>
            </w:r>
            <w:bookmarkEnd w:id="33"/>
          </w:p>
          <w:p>
            <w:pPr>
              <w:spacing w:line="360" w:lineRule="exact"/>
              <w:ind w:firstLine="480" w:firstLineChars="200"/>
              <w:rPr>
                <w:kern w:val="0"/>
                <w:sz w:val="24"/>
              </w:rPr>
            </w:pPr>
            <w:r>
              <w:rPr>
                <w:rFonts w:eastAsia="楷体_GB2312"/>
                <w:kern w:val="0"/>
                <w:sz w:val="24"/>
              </w:rPr>
              <w:t>1.</w:t>
            </w:r>
            <w:r>
              <w:rPr>
                <w:rFonts w:hint="eastAsia" w:eastAsia="楷体_GB2312"/>
                <w:kern w:val="0"/>
                <w:sz w:val="24"/>
              </w:rPr>
              <w:t xml:space="preserve"> </w:t>
            </w:r>
            <w:r>
              <w:rPr>
                <w:rFonts w:eastAsia="楷体_GB2312"/>
                <w:kern w:val="0"/>
                <w:sz w:val="24"/>
              </w:rPr>
              <w:t>实施药品稽查执法“雄鹰行动”。</w:t>
            </w:r>
            <w:r>
              <w:rPr>
                <w:kern w:val="0"/>
                <w:sz w:val="24"/>
              </w:rPr>
              <w:t>建立健全稽查体系和协同执法机制，推进“执法双雄”队伍建设，通过典型案件查办遴选办案“能手”，通过执法比武评选办案“高手”。到2023年末，累计选育办案“能手”、办案“高手”100名。</w:t>
            </w:r>
          </w:p>
          <w:p>
            <w:pPr>
              <w:spacing w:line="360" w:lineRule="exact"/>
              <w:ind w:firstLine="480" w:firstLineChars="200"/>
              <w:rPr>
                <w:kern w:val="0"/>
                <w:sz w:val="24"/>
              </w:rPr>
            </w:pPr>
            <w:r>
              <w:rPr>
                <w:rFonts w:eastAsia="楷体_GB2312"/>
                <w:kern w:val="0"/>
                <w:sz w:val="24"/>
              </w:rPr>
              <w:t>2.</w:t>
            </w:r>
            <w:r>
              <w:rPr>
                <w:rFonts w:hint="eastAsia" w:eastAsia="楷体_GB2312"/>
                <w:kern w:val="0"/>
                <w:sz w:val="24"/>
              </w:rPr>
              <w:t xml:space="preserve"> </w:t>
            </w:r>
            <w:r>
              <w:rPr>
                <w:rFonts w:eastAsia="楷体_GB2312"/>
                <w:kern w:val="0"/>
                <w:sz w:val="24"/>
              </w:rPr>
              <w:t>实施数字稽查“蓝鹰计划”。</w:t>
            </w:r>
            <w:r>
              <w:rPr>
                <w:kern w:val="0"/>
                <w:sz w:val="24"/>
              </w:rPr>
              <w:t>搭建“123+X”架构，建立覆盖全省各级的移动办案体系和数字化办案指挥体系。到2023年末，实现全省药品执法办案跨层级、跨环节、跨部门数字化协作联动。</w:t>
            </w:r>
          </w:p>
        </w:tc>
      </w:tr>
    </w:tbl>
    <w:p>
      <w:pPr>
        <w:spacing w:line="200" w:lineRule="exact"/>
        <w:ind w:firstLine="640" w:firstLineChars="200"/>
        <w:rPr>
          <w:szCs w:val="32"/>
        </w:rPr>
      </w:pPr>
    </w:p>
    <w:bookmarkEnd w:id="28"/>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34" w:name="_Toc73266851"/>
            <w:r>
              <w:rPr>
                <w:rFonts w:eastAsia="黑体"/>
                <w:b w:val="0"/>
                <w:bCs w:val="0"/>
                <w:sz w:val="28"/>
                <w:szCs w:val="28"/>
              </w:rPr>
              <w:t xml:space="preserve">专栏6 </w:t>
            </w:r>
            <w:r>
              <w:rPr>
                <w:rFonts w:hint="eastAsia" w:eastAsia="黑体"/>
                <w:b w:val="0"/>
                <w:bCs w:val="0"/>
                <w:sz w:val="28"/>
                <w:szCs w:val="28"/>
              </w:rPr>
              <w:t xml:space="preserve"> </w:t>
            </w:r>
            <w:r>
              <w:rPr>
                <w:rFonts w:eastAsia="黑体"/>
                <w:b w:val="0"/>
                <w:bCs w:val="0"/>
                <w:sz w:val="28"/>
                <w:szCs w:val="28"/>
              </w:rPr>
              <w:t>专业监管队伍培育工程</w:t>
            </w:r>
            <w:bookmarkEnd w:id="34"/>
          </w:p>
          <w:p>
            <w:pPr>
              <w:spacing w:line="360" w:lineRule="exact"/>
              <w:ind w:firstLine="480" w:firstLineChars="200"/>
              <w:rPr>
                <w:kern w:val="0"/>
                <w:sz w:val="24"/>
              </w:rPr>
            </w:pPr>
            <w:r>
              <w:rPr>
                <w:rFonts w:eastAsia="楷体_GB2312"/>
                <w:kern w:val="0"/>
                <w:sz w:val="24"/>
              </w:rPr>
              <w:t>1.</w:t>
            </w:r>
            <w:r>
              <w:rPr>
                <w:rFonts w:hint="eastAsia" w:eastAsia="楷体_GB2312"/>
                <w:kern w:val="0"/>
                <w:sz w:val="24"/>
              </w:rPr>
              <w:t xml:space="preserve"> </w:t>
            </w:r>
            <w:r>
              <w:rPr>
                <w:rFonts w:eastAsia="楷体_GB2312"/>
                <w:kern w:val="0"/>
                <w:sz w:val="24"/>
              </w:rPr>
              <w:t>领导干部综合素质提升行动。</w:t>
            </w:r>
            <w:r>
              <w:rPr>
                <w:kern w:val="0"/>
                <w:sz w:val="24"/>
              </w:rPr>
              <w:t>面向市县市场监管部门领导班子，强化党的创新理论及组织建设、队伍建设、领导能力建设、风险防控意识、突发事件处置、药品监管专业能力等培训，打造一支信念过硬、政治过硬、责任过硬、能力过硬、作风过硬，忠诚干净担当的高素质专业化领导干部队伍。</w:t>
            </w:r>
          </w:p>
          <w:p>
            <w:pPr>
              <w:spacing w:line="360" w:lineRule="exact"/>
              <w:ind w:firstLine="480" w:firstLineChars="200"/>
              <w:rPr>
                <w:kern w:val="0"/>
                <w:sz w:val="24"/>
              </w:rPr>
            </w:pPr>
            <w:r>
              <w:rPr>
                <w:rFonts w:eastAsia="楷体_GB2312"/>
                <w:kern w:val="0"/>
                <w:sz w:val="24"/>
              </w:rPr>
              <w:t>2.</w:t>
            </w:r>
            <w:r>
              <w:rPr>
                <w:rFonts w:hint="eastAsia" w:eastAsia="楷体_GB2312"/>
                <w:kern w:val="0"/>
                <w:sz w:val="24"/>
              </w:rPr>
              <w:t xml:space="preserve"> </w:t>
            </w:r>
            <w:r>
              <w:rPr>
                <w:rFonts w:eastAsia="楷体_GB2312"/>
                <w:kern w:val="0"/>
                <w:sz w:val="24"/>
              </w:rPr>
              <w:t>业务骨干专业技能提升行动。</w:t>
            </w:r>
            <w:r>
              <w:rPr>
                <w:kern w:val="0"/>
                <w:sz w:val="24"/>
              </w:rPr>
              <w:t>组织开展药品安全监管、现场检查、执法办案、技术支撑、数字化改革、服务发展等业务培训，提升监管人员发现问题、解决问题的能力，打造一支专业化、复合型、高素质的业务骨干队伍。</w:t>
            </w:r>
          </w:p>
          <w:p>
            <w:pPr>
              <w:spacing w:line="360" w:lineRule="exact"/>
              <w:ind w:firstLine="480" w:firstLineChars="200"/>
              <w:rPr>
                <w:kern w:val="0"/>
                <w:sz w:val="24"/>
              </w:rPr>
            </w:pPr>
            <w:r>
              <w:rPr>
                <w:rFonts w:eastAsia="楷体_GB2312"/>
                <w:kern w:val="0"/>
                <w:sz w:val="24"/>
              </w:rPr>
              <w:t>3.</w:t>
            </w:r>
            <w:r>
              <w:rPr>
                <w:rFonts w:hint="eastAsia" w:eastAsia="楷体_GB2312"/>
                <w:kern w:val="0"/>
                <w:sz w:val="24"/>
              </w:rPr>
              <w:t xml:space="preserve"> </w:t>
            </w:r>
            <w:r>
              <w:rPr>
                <w:rFonts w:eastAsia="楷体_GB2312"/>
                <w:kern w:val="0"/>
                <w:sz w:val="24"/>
              </w:rPr>
              <w:t>基层监管人才提升行动。</w:t>
            </w:r>
            <w:r>
              <w:rPr>
                <w:kern w:val="0"/>
                <w:sz w:val="24"/>
              </w:rPr>
              <w:t>针对基层药品监管实际，开展药品、医疗器械、化妆品基本监管业务知识培训和技能实训，提升专业监管能力。</w:t>
            </w:r>
          </w:p>
          <w:p>
            <w:pPr>
              <w:spacing w:line="360" w:lineRule="exact"/>
              <w:ind w:firstLine="480" w:firstLineChars="200"/>
              <w:rPr>
                <w:kern w:val="0"/>
                <w:sz w:val="24"/>
              </w:rPr>
            </w:pPr>
            <w:r>
              <w:rPr>
                <w:rFonts w:eastAsia="楷体_GB2312"/>
                <w:kern w:val="0"/>
                <w:sz w:val="24"/>
              </w:rPr>
              <w:t>4.</w:t>
            </w:r>
            <w:r>
              <w:rPr>
                <w:rFonts w:hint="eastAsia" w:eastAsia="楷体_GB2312"/>
                <w:kern w:val="0"/>
                <w:sz w:val="24"/>
              </w:rPr>
              <w:t xml:space="preserve"> </w:t>
            </w:r>
            <w:r>
              <w:rPr>
                <w:rFonts w:eastAsia="楷体_GB2312"/>
                <w:kern w:val="0"/>
                <w:sz w:val="24"/>
              </w:rPr>
              <w:t>药品监管智库建设行动。</w:t>
            </w:r>
            <w:r>
              <w:rPr>
                <w:kern w:val="0"/>
                <w:sz w:val="24"/>
              </w:rPr>
              <w:t>遴选专家人才，建设服务医药产业和药品监管的智库，提高智库在政策制定、技术咨询服务等方面的参与度。</w:t>
            </w:r>
          </w:p>
        </w:tc>
      </w:tr>
    </w:tbl>
    <w:p>
      <w:pPr>
        <w:pStyle w:val="2"/>
        <w:keepNext w:val="0"/>
        <w:keepLines w:val="0"/>
        <w:spacing w:before="0" w:after="0" w:line="600" w:lineRule="exact"/>
        <w:ind w:firstLine="640" w:firstLineChars="200"/>
        <w:rPr>
          <w:rFonts w:ascii="黑体" w:hAnsi="黑体" w:eastAsia="黑体"/>
          <w:b w:val="0"/>
          <w:sz w:val="32"/>
          <w:szCs w:val="32"/>
        </w:rPr>
      </w:pPr>
      <w:bookmarkStart w:id="35" w:name="_Toc73266752"/>
      <w:r>
        <w:rPr>
          <w:rFonts w:ascii="黑体" w:hAnsi="黑体" w:eastAsia="黑体"/>
          <w:b w:val="0"/>
          <w:sz w:val="32"/>
          <w:szCs w:val="32"/>
        </w:rPr>
        <w:t>六、构建</w:t>
      </w:r>
      <w:bookmarkStart w:id="36" w:name="_Hlk51038519"/>
      <w:r>
        <w:rPr>
          <w:rFonts w:ascii="黑体" w:hAnsi="黑体" w:eastAsia="黑体"/>
          <w:b w:val="0"/>
          <w:sz w:val="32"/>
          <w:szCs w:val="32"/>
        </w:rPr>
        <w:t>药品安全风险防控</w:t>
      </w:r>
      <w:bookmarkEnd w:id="36"/>
      <w:r>
        <w:rPr>
          <w:rFonts w:ascii="黑体" w:hAnsi="黑体" w:eastAsia="黑体"/>
          <w:b w:val="0"/>
          <w:sz w:val="32"/>
          <w:szCs w:val="32"/>
        </w:rPr>
        <w:t>体系</w:t>
      </w:r>
      <w:bookmarkEnd w:id="35"/>
    </w:p>
    <w:p>
      <w:pPr>
        <w:pStyle w:val="10"/>
        <w:spacing w:line="600" w:lineRule="exact"/>
        <w:ind w:firstLine="640" w:firstLineChars="200"/>
        <w:jc w:val="both"/>
        <w:rPr>
          <w:rFonts w:ascii="Times New Roman" w:hAnsi="Times New Roman" w:eastAsia="仿宋_GB2312" w:cs="Times New Roman"/>
          <w:sz w:val="32"/>
          <w:szCs w:val="32"/>
        </w:rPr>
      </w:pPr>
      <w:bookmarkStart w:id="37" w:name="_Toc73266753"/>
      <w:r>
        <w:rPr>
          <w:rStyle w:val="11"/>
          <w:rFonts w:ascii="Times New Roman" w:hAnsi="Times New Roman" w:cs="Times New Roman"/>
        </w:rPr>
        <w:t>13</w:t>
      </w:r>
      <w:r>
        <w:rPr>
          <w:rStyle w:val="11"/>
          <w:rFonts w:hint="eastAsia" w:ascii="Times New Roman" w:hAnsi="Times New Roman" w:cs="Times New Roman"/>
        </w:rPr>
        <w:t xml:space="preserve">. </w:t>
      </w:r>
      <w:r>
        <w:rPr>
          <w:rStyle w:val="11"/>
          <w:rFonts w:ascii="Times New Roman" w:hAnsi="Times New Roman" w:cs="Times New Roman"/>
        </w:rPr>
        <w:t>加强疫苗安全监管</w:t>
      </w:r>
      <w:bookmarkEnd w:id="37"/>
      <w:r>
        <w:rPr>
          <w:rFonts w:ascii="Times New Roman" w:hAnsi="Times New Roman" w:eastAsia="楷体_GB2312" w:cs="Times New Roman"/>
          <w:bCs/>
          <w:sz w:val="32"/>
          <w:szCs w:val="32"/>
        </w:rPr>
        <w:t>。</w:t>
      </w:r>
      <w:r>
        <w:rPr>
          <w:rFonts w:ascii="Times New Roman" w:hAnsi="Times New Roman" w:eastAsia="仿宋_GB2312" w:cs="Times New Roman"/>
          <w:sz w:val="32"/>
          <w:szCs w:val="32"/>
        </w:rPr>
        <w:t>进一步明确疫苗监管职责，加强疫苗研发、生产、储存、配送企业和接种单位质量监督管理。落实疫苗生产企业派驻检查员制度。实施疫苗全程电子追溯制度，完</w:t>
      </w:r>
      <w:r>
        <w:rPr>
          <w:rFonts w:ascii="Times New Roman" w:hAnsi="Times New Roman" w:eastAsia="仿宋_GB2312" w:cs="Times New Roman"/>
          <w:spacing w:val="2"/>
          <w:sz w:val="32"/>
          <w:szCs w:val="32"/>
        </w:rPr>
        <w:t>善疫苗冷链配送、储存等基础设施，建立疫苗批签发实验室。落实疫苗上市许可持有人主体责任，保证疫苗质量安全与供应。加强药监、市场监管、卫生健康、经信等部门工作衔接，形成多部门疫苗协调机制，提升疫苗从研发到接种使用全生命周期管理效能。</w:t>
      </w:r>
    </w:p>
    <w:p>
      <w:pPr>
        <w:pStyle w:val="10"/>
        <w:spacing w:line="590" w:lineRule="exact"/>
        <w:ind w:firstLine="640" w:firstLineChars="200"/>
        <w:jc w:val="both"/>
        <w:rPr>
          <w:rFonts w:ascii="Times New Roman" w:hAnsi="Times New Roman" w:eastAsia="仿宋_GB2312" w:cs="Times New Roman"/>
          <w:sz w:val="32"/>
          <w:szCs w:val="32"/>
        </w:rPr>
      </w:pPr>
      <w:bookmarkStart w:id="38" w:name="_Toc73266754"/>
      <w:r>
        <w:rPr>
          <w:rStyle w:val="11"/>
          <w:rFonts w:ascii="Times New Roman" w:hAnsi="Times New Roman" w:cs="Times New Roman"/>
        </w:rPr>
        <w:t>14</w:t>
      </w:r>
      <w:r>
        <w:rPr>
          <w:rStyle w:val="11"/>
          <w:rFonts w:hint="eastAsia" w:ascii="Times New Roman" w:hAnsi="Times New Roman" w:cs="Times New Roman"/>
        </w:rPr>
        <w:t xml:space="preserve">. </w:t>
      </w:r>
      <w:r>
        <w:rPr>
          <w:rStyle w:val="11"/>
          <w:rFonts w:ascii="Times New Roman" w:hAnsi="Times New Roman" w:cs="Times New Roman"/>
        </w:rPr>
        <w:t>加强药品风险防控</w:t>
      </w:r>
      <w:bookmarkEnd w:id="38"/>
      <w:r>
        <w:rPr>
          <w:rStyle w:val="11"/>
          <w:rFonts w:ascii="Times New Roman" w:hAnsi="Times New Roman" w:cs="Times New Roman"/>
        </w:rPr>
        <w:t>。</w:t>
      </w:r>
      <w:r>
        <w:rPr>
          <w:rFonts w:ascii="Times New Roman" w:hAnsi="Times New Roman" w:eastAsia="仿宋_GB2312" w:cs="Times New Roman"/>
          <w:sz w:val="32"/>
          <w:szCs w:val="32"/>
        </w:rPr>
        <w:t>强化药品注册管理，加快临床试验机构建设，规范临床研究行为，提高临床试验管理水平；以流程为导向优化药品注册管理，提高注册核查效能；加强对上市后药品的持续管理，推动企业开展药品上市后研究。加强药品生产监管，实施以管控风险为基础的检查，督促企业持续合规；加强血液制品、麻醉药品、精神药品、药品类易制毒化学品、放射性药品、无菌药品等高风险药品生产企业的全覆盖检查；加强其他药</w:t>
      </w:r>
      <w:r>
        <w:rPr>
          <w:rFonts w:ascii="Times New Roman" w:hAnsi="Times New Roman" w:eastAsia="仿宋_GB2312" w:cs="Times New Roman"/>
          <w:spacing w:val="2"/>
          <w:sz w:val="32"/>
          <w:szCs w:val="32"/>
        </w:rPr>
        <w:t>品生产监督检查，对原料、辅料、药包材及容器等供应商、生产企业开展延伸检查；建立健全药品生产企业安全信用档案。加强药品流通监管，严格监督落实药品线上线下经营质量管理规范，强化特殊药品、高风险药品储存配送监管，有效防控流通、运输过程中的质量安全风险。加强进出口药品许可证件核查和口岸监管。</w:t>
      </w:r>
    </w:p>
    <w:p>
      <w:pPr>
        <w:pStyle w:val="10"/>
        <w:spacing w:line="590" w:lineRule="exact"/>
        <w:ind w:firstLine="640" w:firstLineChars="200"/>
        <w:jc w:val="both"/>
        <w:rPr>
          <w:rFonts w:ascii="Times New Roman" w:hAnsi="Times New Roman" w:eastAsia="仿宋_GB2312" w:cs="Times New Roman"/>
          <w:sz w:val="32"/>
          <w:szCs w:val="32"/>
        </w:rPr>
      </w:pPr>
      <w:bookmarkStart w:id="39" w:name="_Toc73266755"/>
      <w:r>
        <w:rPr>
          <w:rStyle w:val="11"/>
          <w:rFonts w:ascii="Times New Roman" w:hAnsi="Times New Roman" w:cs="Times New Roman"/>
        </w:rPr>
        <w:t>15</w:t>
      </w:r>
      <w:r>
        <w:rPr>
          <w:rStyle w:val="11"/>
          <w:rFonts w:hint="eastAsia" w:ascii="Times New Roman" w:hAnsi="Times New Roman" w:cs="Times New Roman"/>
        </w:rPr>
        <w:t xml:space="preserve">. </w:t>
      </w:r>
      <w:r>
        <w:rPr>
          <w:rStyle w:val="11"/>
          <w:rFonts w:ascii="Times New Roman" w:hAnsi="Times New Roman" w:cs="Times New Roman"/>
        </w:rPr>
        <w:t>加强医疗器械风险防控</w:t>
      </w:r>
      <w:bookmarkEnd w:id="39"/>
      <w:r>
        <w:rPr>
          <w:rStyle w:val="11"/>
          <w:rFonts w:ascii="Times New Roman" w:hAnsi="Times New Roman" w:cs="Times New Roman"/>
        </w:rPr>
        <w:t>。</w:t>
      </w:r>
      <w:r>
        <w:rPr>
          <w:rFonts w:ascii="Times New Roman" w:hAnsi="Times New Roman" w:eastAsia="仿宋_GB2312" w:cs="Times New Roman"/>
          <w:sz w:val="32"/>
          <w:szCs w:val="32"/>
        </w:rPr>
        <w:t>全面推行医疗器械注册人、备案人及医疗器械唯一标识制度，加强医疗器械临床试验、拓展性临床试验管理，提升临床质量，规范第一类医疗器械备案管理。完善医疗器械生产企业风险分级机制，按照</w:t>
      </w:r>
      <w:bookmarkStart w:id="40" w:name="_Hlk72490507"/>
      <w:r>
        <w:rPr>
          <w:rFonts w:ascii="Times New Roman" w:hAnsi="Times New Roman" w:eastAsia="仿宋_GB2312" w:cs="Times New Roman"/>
          <w:sz w:val="32"/>
          <w:szCs w:val="32"/>
        </w:rPr>
        <w:t>分类分级监管</w:t>
      </w:r>
      <w:bookmarkEnd w:id="40"/>
      <w:r>
        <w:rPr>
          <w:rFonts w:ascii="Times New Roman" w:hAnsi="Times New Roman" w:eastAsia="仿宋_GB2312" w:cs="Times New Roman"/>
          <w:sz w:val="32"/>
          <w:szCs w:val="32"/>
        </w:rPr>
        <w:t>要求开展医疗器械生产企业监督检查。加强对创新医疗器械及附条件审批医疗器械上市后监督检查，严格无菌和植入性医疗器械企业全环节风险排查，实施医疗器械延伸检查制度。加强医疗器械经营和使用质量风险防控，全面推进经营使用监管数字化改革，鼓励监管模式创新，构建省市县一体的网络监管体系，推进数字化网络监测，规范互联网销售医疗器械行为，提升上市后监管效能。</w:t>
      </w:r>
    </w:p>
    <w:p>
      <w:pPr>
        <w:pStyle w:val="10"/>
        <w:spacing w:line="590" w:lineRule="exact"/>
        <w:ind w:firstLine="640" w:firstLineChars="200"/>
        <w:jc w:val="both"/>
        <w:rPr>
          <w:rFonts w:ascii="Times New Roman" w:hAnsi="Times New Roman" w:eastAsia="仿宋_GB2312" w:cs="Times New Roman"/>
          <w:sz w:val="32"/>
          <w:szCs w:val="32"/>
        </w:rPr>
      </w:pPr>
      <w:bookmarkStart w:id="41" w:name="_Toc73266756"/>
      <w:r>
        <w:rPr>
          <w:rStyle w:val="11"/>
          <w:rFonts w:ascii="Times New Roman" w:hAnsi="Times New Roman" w:cs="Times New Roman"/>
        </w:rPr>
        <w:t>16</w:t>
      </w:r>
      <w:r>
        <w:rPr>
          <w:rStyle w:val="11"/>
          <w:rFonts w:hint="eastAsia" w:ascii="Times New Roman" w:hAnsi="Times New Roman" w:cs="Times New Roman"/>
        </w:rPr>
        <w:t xml:space="preserve">. </w:t>
      </w:r>
      <w:r>
        <w:rPr>
          <w:rStyle w:val="11"/>
          <w:rFonts w:ascii="Times New Roman" w:hAnsi="Times New Roman" w:cs="Times New Roman"/>
        </w:rPr>
        <w:t>加强化妆品风险防控</w:t>
      </w:r>
      <w:bookmarkEnd w:id="41"/>
      <w:r>
        <w:rPr>
          <w:rStyle w:val="11"/>
          <w:rFonts w:ascii="Times New Roman" w:hAnsi="Times New Roman" w:cs="Times New Roman"/>
        </w:rPr>
        <w:t>。</w:t>
      </w:r>
      <w:r>
        <w:rPr>
          <w:rFonts w:ascii="Times New Roman" w:hAnsi="Times New Roman" w:eastAsia="仿宋_GB2312" w:cs="Times New Roman"/>
          <w:sz w:val="32"/>
          <w:szCs w:val="32"/>
        </w:rPr>
        <w:t>规范化妆品备案管理，开展“浙江美妆”质量提升和美丽消费示范工程，提高化妆品质量安全水平，推动行业规范高质量发展。推进“线上净网线下清源”精准治理，建设数字监管平台和网络化妆品监测中心，打造化妆品创新监管服务示范区。持续加强对祛斑美白、婴幼儿和儿童化妆品等高风险品种的风险监测，对婴幼儿和儿童化妆品生产企业、化妆品电子商务平台经营者实施全覆盖监督检查。</w:t>
      </w:r>
    </w:p>
    <w:p>
      <w:pPr>
        <w:pStyle w:val="10"/>
        <w:spacing w:line="590" w:lineRule="exact"/>
        <w:ind w:firstLine="640" w:firstLineChars="200"/>
        <w:jc w:val="both"/>
        <w:rPr>
          <w:rFonts w:ascii="Times New Roman" w:hAnsi="Times New Roman" w:eastAsia="仿宋_GB2312" w:cs="Times New Roman"/>
          <w:sz w:val="32"/>
          <w:szCs w:val="32"/>
        </w:rPr>
      </w:pPr>
      <w:bookmarkStart w:id="42" w:name="_Toc73266757"/>
      <w:r>
        <w:rPr>
          <w:rStyle w:val="11"/>
          <w:rFonts w:ascii="Times New Roman" w:hAnsi="Times New Roman" w:cs="Times New Roman"/>
        </w:rPr>
        <w:t>17</w:t>
      </w:r>
      <w:r>
        <w:rPr>
          <w:rStyle w:val="11"/>
          <w:rFonts w:hint="eastAsia" w:ascii="Times New Roman" w:hAnsi="Times New Roman" w:cs="Times New Roman"/>
        </w:rPr>
        <w:t xml:space="preserve">. </w:t>
      </w:r>
      <w:r>
        <w:rPr>
          <w:rStyle w:val="11"/>
          <w:rFonts w:ascii="Times New Roman" w:hAnsi="Times New Roman" w:cs="Times New Roman"/>
        </w:rPr>
        <w:t>加强药品安全公共应急管理</w:t>
      </w:r>
      <w:bookmarkEnd w:id="42"/>
      <w:r>
        <w:rPr>
          <w:rStyle w:val="11"/>
          <w:rFonts w:ascii="Times New Roman" w:hAnsi="Times New Roman" w:cs="Times New Roman"/>
        </w:rPr>
        <w:t>。</w:t>
      </w:r>
      <w:r>
        <w:rPr>
          <w:rFonts w:ascii="Times New Roman" w:hAnsi="Times New Roman" w:eastAsia="仿宋_GB2312" w:cs="Times New Roman"/>
          <w:sz w:val="32"/>
          <w:szCs w:val="32"/>
        </w:rPr>
        <w:t>完善省市县三级政府药品安全事件应急预案，建设浙江省药品应急演练卓越中心，开展药品安全应急演练，提高药品安全应急处置能力。强化应对突发事件中药品医疗器械检验检测、体系核查、审评审批、监测评价等工作的统一指挥与协调。按照平战结合要求，加强应急药品医疗器械技术支撑能力建设，强化应对突发公共卫生事件的技术能力储备，完善突发公共卫生事件防治药品医疗器械应急科研、应急检验、应急审评等制度，提升突发公共卫生事件防控药械智能化管理水平。完善短缺药品供应保障机制，保障低价药及罕见病用药市场供应。增强舆情监测处置能力。</w:t>
      </w: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43" w:name="_Toc73266852"/>
            <w:r>
              <w:rPr>
                <w:rFonts w:eastAsia="黑体"/>
                <w:b w:val="0"/>
                <w:bCs w:val="0"/>
                <w:sz w:val="28"/>
                <w:szCs w:val="28"/>
              </w:rPr>
              <w:t xml:space="preserve">专栏7 </w:t>
            </w:r>
            <w:r>
              <w:rPr>
                <w:rFonts w:hint="eastAsia" w:eastAsia="黑体"/>
                <w:b w:val="0"/>
                <w:bCs w:val="0"/>
                <w:sz w:val="28"/>
                <w:szCs w:val="28"/>
              </w:rPr>
              <w:t xml:space="preserve"> </w:t>
            </w:r>
            <w:r>
              <w:rPr>
                <w:rFonts w:eastAsia="黑体"/>
                <w:b w:val="0"/>
                <w:bCs w:val="0"/>
                <w:sz w:val="28"/>
                <w:szCs w:val="28"/>
              </w:rPr>
              <w:t>药品安全风险精密智控工程</w:t>
            </w:r>
            <w:bookmarkEnd w:id="43"/>
          </w:p>
          <w:p>
            <w:pPr>
              <w:spacing w:line="360" w:lineRule="exact"/>
              <w:ind w:firstLine="480" w:firstLineChars="200"/>
              <w:rPr>
                <w:kern w:val="0"/>
                <w:sz w:val="24"/>
              </w:rPr>
            </w:pPr>
            <w:r>
              <w:rPr>
                <w:kern w:val="0"/>
                <w:sz w:val="24"/>
              </w:rPr>
              <w:t>推进药品安全风险管控模式改革，构建成熟的风险预警模型，建设药品风险精密智控系统，实现源头可溯、过程可控、风险可防、责任可追、公众可查。</w:t>
            </w:r>
          </w:p>
          <w:p>
            <w:pPr>
              <w:spacing w:line="360" w:lineRule="exact"/>
              <w:ind w:firstLine="480" w:firstLineChars="200"/>
              <w:rPr>
                <w:kern w:val="0"/>
                <w:sz w:val="24"/>
              </w:rPr>
            </w:pPr>
            <w:r>
              <w:rPr>
                <w:rFonts w:eastAsia="楷体_GB2312"/>
                <w:kern w:val="0"/>
                <w:sz w:val="24"/>
              </w:rPr>
              <w:t>一期：</w:t>
            </w:r>
            <w:r>
              <w:rPr>
                <w:kern w:val="0"/>
                <w:sz w:val="24"/>
              </w:rPr>
              <w:t>以“一图一码一指数”精密智控模块为核心，搭建药物研究机构监管与风险智控、药品生产经营企业监管与风险智控等模块，实时展示全省药品安全风险地图、动态生成企业安全码以及各市县药品安全和监管力指数。</w:t>
            </w:r>
          </w:p>
          <w:p>
            <w:pPr>
              <w:spacing w:line="360" w:lineRule="exact"/>
              <w:ind w:firstLine="480" w:firstLineChars="200"/>
              <w:rPr>
                <w:kern w:val="0"/>
                <w:sz w:val="24"/>
              </w:rPr>
            </w:pPr>
            <w:r>
              <w:rPr>
                <w:rFonts w:eastAsia="楷体_GB2312"/>
                <w:kern w:val="0"/>
                <w:sz w:val="24"/>
              </w:rPr>
              <w:t>二期：</w:t>
            </w:r>
            <w:r>
              <w:rPr>
                <w:kern w:val="0"/>
                <w:sz w:val="24"/>
              </w:rPr>
              <w:t>开发特殊药品监管与风险智控、药品批发企业监管与风险智控、医疗器械监管与风险智控、化妆品监管与风险智控等场景应用。</w:t>
            </w:r>
          </w:p>
        </w:tc>
      </w:tr>
    </w:tbl>
    <w:p>
      <w:pPr>
        <w:pStyle w:val="10"/>
        <w:spacing w:line="590" w:lineRule="exact"/>
        <w:ind w:firstLine="640" w:firstLineChars="200"/>
        <w:jc w:val="both"/>
        <w:rPr>
          <w:rFonts w:ascii="Times New Roman" w:hAnsi="Times New Roman" w:eastAsia="仿宋_GB2312" w:cs="Times New Roman"/>
          <w:sz w:val="32"/>
          <w:szCs w:val="32"/>
        </w:rPr>
      </w:pP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44" w:name="_Toc73266853"/>
            <w:r>
              <w:rPr>
                <w:rFonts w:eastAsia="黑体"/>
                <w:b w:val="0"/>
                <w:bCs w:val="0"/>
                <w:sz w:val="28"/>
                <w:szCs w:val="28"/>
              </w:rPr>
              <w:t xml:space="preserve">专栏8 </w:t>
            </w:r>
            <w:r>
              <w:rPr>
                <w:rFonts w:hint="eastAsia" w:eastAsia="黑体"/>
                <w:b w:val="0"/>
                <w:bCs w:val="0"/>
                <w:sz w:val="28"/>
                <w:szCs w:val="28"/>
              </w:rPr>
              <w:t xml:space="preserve"> </w:t>
            </w:r>
            <w:r>
              <w:rPr>
                <w:rFonts w:eastAsia="黑体"/>
                <w:b w:val="0"/>
                <w:bCs w:val="0"/>
                <w:sz w:val="28"/>
                <w:szCs w:val="28"/>
              </w:rPr>
              <w:t>浙江省药品应急演练卓越中心建设工程</w:t>
            </w:r>
            <w:bookmarkEnd w:id="44"/>
          </w:p>
          <w:p>
            <w:pPr>
              <w:spacing w:line="360" w:lineRule="exact"/>
              <w:ind w:firstLine="480" w:firstLineChars="200"/>
              <w:rPr>
                <w:kern w:val="0"/>
                <w:sz w:val="24"/>
              </w:rPr>
            </w:pPr>
            <w:r>
              <w:rPr>
                <w:rFonts w:eastAsia="楷体_GB2312"/>
                <w:kern w:val="0"/>
                <w:sz w:val="24"/>
              </w:rPr>
              <w:t>1.</w:t>
            </w:r>
            <w:r>
              <w:rPr>
                <w:rFonts w:hint="eastAsia" w:eastAsia="楷体_GB2312"/>
                <w:kern w:val="0"/>
                <w:sz w:val="24"/>
              </w:rPr>
              <w:t xml:space="preserve"> </w:t>
            </w:r>
            <w:r>
              <w:rPr>
                <w:rFonts w:eastAsia="楷体_GB2312"/>
                <w:kern w:val="0"/>
                <w:sz w:val="24"/>
              </w:rPr>
              <w:t>构建药品安全应急预案体系。</w:t>
            </w:r>
            <w:r>
              <w:rPr>
                <w:kern w:val="0"/>
                <w:sz w:val="24"/>
              </w:rPr>
              <w:t>省市县三级人民政府制定药品安全事件应急预案，组织开展药品安全应急演练。</w:t>
            </w:r>
          </w:p>
          <w:p>
            <w:pPr>
              <w:spacing w:line="360" w:lineRule="exact"/>
              <w:ind w:firstLine="480" w:firstLineChars="200"/>
              <w:rPr>
                <w:kern w:val="0"/>
                <w:sz w:val="24"/>
              </w:rPr>
            </w:pPr>
            <w:r>
              <w:rPr>
                <w:rFonts w:eastAsia="楷体_GB2312"/>
                <w:kern w:val="0"/>
                <w:sz w:val="24"/>
              </w:rPr>
              <w:t>2.</w:t>
            </w:r>
            <w:r>
              <w:rPr>
                <w:rFonts w:hint="eastAsia" w:eastAsia="楷体_GB2312"/>
                <w:kern w:val="0"/>
                <w:sz w:val="24"/>
              </w:rPr>
              <w:t xml:space="preserve"> </w:t>
            </w:r>
            <w:r>
              <w:rPr>
                <w:rFonts w:eastAsia="楷体_GB2312"/>
                <w:kern w:val="0"/>
                <w:sz w:val="24"/>
              </w:rPr>
              <w:t>建设浙江省药品应急演练卓越中心。</w:t>
            </w:r>
            <w:r>
              <w:rPr>
                <w:kern w:val="0"/>
                <w:sz w:val="24"/>
              </w:rPr>
              <w:t>推进多媒体情景演练、应急演练模型沙盘等建设，与国家药品应急演练卓越中心对接，协同省市县三级药品监管部门和相关部门开展应急演练。</w:t>
            </w:r>
          </w:p>
          <w:p>
            <w:pPr>
              <w:spacing w:line="360" w:lineRule="exact"/>
              <w:ind w:firstLine="480" w:firstLineChars="200"/>
              <w:rPr>
                <w:kern w:val="0"/>
                <w:sz w:val="24"/>
              </w:rPr>
            </w:pPr>
            <w:r>
              <w:rPr>
                <w:rFonts w:eastAsia="楷体_GB2312"/>
                <w:kern w:val="0"/>
                <w:sz w:val="24"/>
              </w:rPr>
              <w:t>3.</w:t>
            </w:r>
            <w:r>
              <w:rPr>
                <w:rFonts w:hint="eastAsia" w:eastAsia="楷体_GB2312"/>
                <w:kern w:val="0"/>
                <w:sz w:val="24"/>
              </w:rPr>
              <w:t xml:space="preserve"> </w:t>
            </w:r>
            <w:r>
              <w:rPr>
                <w:rFonts w:eastAsia="楷体_GB2312"/>
                <w:kern w:val="0"/>
                <w:sz w:val="24"/>
              </w:rPr>
              <w:t>完善突发公共卫生事件药械应急保供机制。</w:t>
            </w:r>
            <w:r>
              <w:rPr>
                <w:kern w:val="0"/>
                <w:sz w:val="24"/>
              </w:rPr>
              <w:t>构建重大疫情防控药品医疗器械动态监测预警系统、预防药物研究信息管理系统，对生产能力、储备情况进行监测预警，对应急所需预防和治疗用药品研发实行智能化管理。</w:t>
            </w:r>
          </w:p>
        </w:tc>
      </w:tr>
    </w:tbl>
    <w:p>
      <w:pPr>
        <w:pStyle w:val="2"/>
        <w:keepNext w:val="0"/>
        <w:keepLines w:val="0"/>
        <w:spacing w:before="0" w:after="0" w:line="580" w:lineRule="exact"/>
        <w:ind w:firstLine="640" w:firstLineChars="200"/>
        <w:rPr>
          <w:rFonts w:ascii="黑体" w:hAnsi="黑体" w:eastAsia="黑体"/>
          <w:b w:val="0"/>
          <w:sz w:val="32"/>
          <w:szCs w:val="32"/>
        </w:rPr>
      </w:pPr>
      <w:bookmarkStart w:id="45" w:name="_Toc73266758"/>
      <w:r>
        <w:rPr>
          <w:rFonts w:ascii="黑体" w:hAnsi="黑体" w:eastAsia="黑体"/>
          <w:b w:val="0"/>
          <w:sz w:val="32"/>
          <w:szCs w:val="32"/>
        </w:rPr>
        <w:t>七、构建药品安全协同智治体系</w:t>
      </w:r>
      <w:bookmarkEnd w:id="45"/>
    </w:p>
    <w:p>
      <w:pPr>
        <w:spacing w:line="580" w:lineRule="exact"/>
        <w:ind w:firstLine="640" w:firstLineChars="200"/>
        <w:rPr>
          <w:szCs w:val="32"/>
        </w:rPr>
      </w:pPr>
      <w:bookmarkStart w:id="46" w:name="_Toc73266759"/>
      <w:r>
        <w:rPr>
          <w:rStyle w:val="11"/>
          <w:rFonts w:ascii="Times New Roman" w:hAnsi="Times New Roman"/>
        </w:rPr>
        <w:t>18</w:t>
      </w:r>
      <w:r>
        <w:rPr>
          <w:rStyle w:val="11"/>
          <w:rFonts w:hint="eastAsia" w:ascii="Times New Roman" w:hAnsi="Times New Roman"/>
        </w:rPr>
        <w:t xml:space="preserve">. </w:t>
      </w:r>
      <w:r>
        <w:rPr>
          <w:rStyle w:val="11"/>
          <w:rFonts w:ascii="Times New Roman" w:hAnsi="Times New Roman"/>
        </w:rPr>
        <w:t>构建数字药监“1+4+1”工作体系</w:t>
      </w:r>
      <w:bookmarkEnd w:id="46"/>
      <w:r>
        <w:rPr>
          <w:rStyle w:val="11"/>
          <w:rFonts w:ascii="Times New Roman" w:hAnsi="Times New Roman"/>
        </w:rPr>
        <w:t>。</w:t>
      </w:r>
      <w:r>
        <w:rPr>
          <w:szCs w:val="32"/>
        </w:rPr>
        <w:t>聚焦“1+5+2”数字化改革工作体系，按照“V”模型，以数字化手段推进省域药品安全治理全方位、系统性、重塑性变革，遵循“四横四纵”框架，构建数字药监“1+4+1”工作体系，打造以药品安全风险精密智控系统为核心的数字药监综合集成“一平台”，面向监管、产业、公众、机关，推进药品监管、产业赋能、共治共享、机关运行“四个数字化”，开展药品智慧监管理论研究和制度创新“一个探索”。</w:t>
      </w:r>
    </w:p>
    <w:p>
      <w:pPr>
        <w:spacing w:line="580" w:lineRule="exact"/>
        <w:ind w:firstLine="640" w:firstLineChars="200"/>
        <w:rPr>
          <w:szCs w:val="32"/>
        </w:rPr>
      </w:pPr>
      <w:bookmarkStart w:id="47" w:name="_Toc73266760"/>
      <w:r>
        <w:rPr>
          <w:rStyle w:val="11"/>
          <w:rFonts w:ascii="Times New Roman" w:hAnsi="Times New Roman"/>
        </w:rPr>
        <w:t>19</w:t>
      </w:r>
      <w:r>
        <w:rPr>
          <w:rStyle w:val="11"/>
          <w:rFonts w:hint="eastAsia" w:ascii="Times New Roman" w:hAnsi="Times New Roman"/>
        </w:rPr>
        <w:t xml:space="preserve">. </w:t>
      </w:r>
      <w:r>
        <w:rPr>
          <w:rStyle w:val="11"/>
          <w:rFonts w:ascii="Times New Roman" w:hAnsi="Times New Roman"/>
        </w:rPr>
        <w:t>推进</w:t>
      </w:r>
      <w:bookmarkStart w:id="48" w:name="_Hlk72872637"/>
      <w:bookmarkStart w:id="49" w:name="_Hlk71770894"/>
      <w:r>
        <w:rPr>
          <w:rStyle w:val="11"/>
          <w:rFonts w:ascii="Times New Roman" w:hAnsi="Times New Roman"/>
        </w:rPr>
        <w:t>“数字药监”综合集成</w:t>
      </w:r>
      <w:bookmarkEnd w:id="47"/>
      <w:bookmarkEnd w:id="48"/>
      <w:bookmarkEnd w:id="49"/>
      <w:r>
        <w:rPr>
          <w:rStyle w:val="11"/>
          <w:rFonts w:ascii="Times New Roman" w:hAnsi="Times New Roman"/>
        </w:rPr>
        <w:t>。</w:t>
      </w:r>
      <w:r>
        <w:rPr>
          <w:szCs w:val="32"/>
        </w:rPr>
        <w:t>按照细化量化、闭环管理、精密智控的原则，利用大数据、云计算、人工智能、物联网等主流前沿技术，建成省市县一体、数据管理集成化、风险防控智能化、技术服务便捷化、业务工作协同化的“数字药监”综合集成平台，打造全领域、全过程、全场景、全业务、非现场的药品安全精密智控体系，推进药品全生命周期数字化管理。</w:t>
      </w:r>
    </w:p>
    <w:p>
      <w:pPr>
        <w:spacing w:line="590" w:lineRule="exact"/>
        <w:ind w:firstLine="640" w:firstLineChars="200"/>
        <w:rPr>
          <w:szCs w:val="32"/>
        </w:rPr>
      </w:pPr>
      <w:bookmarkStart w:id="50" w:name="_Toc73266761"/>
      <w:r>
        <w:rPr>
          <w:rStyle w:val="11"/>
          <w:rFonts w:ascii="Times New Roman" w:hAnsi="Times New Roman"/>
        </w:rPr>
        <w:t>20</w:t>
      </w:r>
      <w:r>
        <w:rPr>
          <w:rStyle w:val="11"/>
          <w:rFonts w:hint="eastAsia" w:ascii="Times New Roman" w:hAnsi="Times New Roman"/>
        </w:rPr>
        <w:t xml:space="preserve">. </w:t>
      </w:r>
      <w:r>
        <w:rPr>
          <w:rStyle w:val="11"/>
          <w:rFonts w:ascii="Times New Roman" w:hAnsi="Times New Roman"/>
        </w:rPr>
        <w:t>推进药品全过程可追溯</w:t>
      </w:r>
      <w:bookmarkEnd w:id="50"/>
      <w:r>
        <w:rPr>
          <w:rStyle w:val="11"/>
          <w:rFonts w:ascii="Times New Roman" w:hAnsi="Times New Roman"/>
        </w:rPr>
        <w:t>。</w:t>
      </w:r>
      <w:r>
        <w:rPr>
          <w:szCs w:val="32"/>
        </w:rPr>
        <w:t>建立健全药品全过程</w:t>
      </w:r>
      <w:bookmarkStart w:id="51" w:name="_Hlk73084387"/>
      <w:r>
        <w:rPr>
          <w:szCs w:val="32"/>
        </w:rPr>
        <w:t>可追溯</w:t>
      </w:r>
      <w:bookmarkEnd w:id="51"/>
      <w:r>
        <w:rPr>
          <w:szCs w:val="32"/>
        </w:rPr>
        <w:t>制度，以“浙苗链”开发与应用为突破口，实现全省疫苗从生产、流通到预防接种最小包装单位全过程可追溯。逐步将全过程追溯推广到药品领域，对接全国统一的药品信息化追溯标准，建设“浙药链”，督促企业落实药品编码管理，通过运用多种技术手段的追溯体系，形成覆盖药品研发、生产、流通、使用全过程的完整追溯闭环，打造药品全过程追溯管理体系。</w:t>
      </w:r>
    </w:p>
    <w:p>
      <w:pPr>
        <w:spacing w:line="590" w:lineRule="exact"/>
        <w:ind w:firstLine="640" w:firstLineChars="200"/>
        <w:rPr>
          <w:szCs w:val="32"/>
        </w:rPr>
      </w:pPr>
      <w:bookmarkStart w:id="52" w:name="_Toc73266762"/>
      <w:r>
        <w:rPr>
          <w:rStyle w:val="11"/>
          <w:rFonts w:ascii="Times New Roman" w:hAnsi="Times New Roman"/>
        </w:rPr>
        <w:t>21</w:t>
      </w:r>
      <w:r>
        <w:rPr>
          <w:rStyle w:val="11"/>
          <w:rFonts w:hint="eastAsia" w:ascii="Times New Roman" w:hAnsi="Times New Roman"/>
        </w:rPr>
        <w:t xml:space="preserve">. </w:t>
      </w:r>
      <w:r>
        <w:rPr>
          <w:rStyle w:val="11"/>
          <w:rFonts w:ascii="Times New Roman" w:hAnsi="Times New Roman"/>
        </w:rPr>
        <w:t>推进数字医药新服务</w:t>
      </w:r>
      <w:bookmarkEnd w:id="52"/>
      <w:r>
        <w:rPr>
          <w:rStyle w:val="11"/>
          <w:rFonts w:ascii="Times New Roman" w:hAnsi="Times New Roman"/>
        </w:rPr>
        <w:t>。</w:t>
      </w:r>
      <w:r>
        <w:rPr>
          <w:szCs w:val="32"/>
        </w:rPr>
        <w:t>深化民生药事“一站式”服务改革，推进药品安全知识、安全数据、基础信息等汇聚共享，提供样品检测、产品资质、质量检验、黑名单信息查询等药事服务。建设“普法+科普在线”，为公众提供“两品一械”科普与普法知识精准推送、满意度调查等线上交互式服务。建设“中药数库”，利用基因图谱、全息影像等技术，建立中药种质资源电子库，为中药产业发展、产品质量比对等提供服务。打造“浙药码”，依托药品全过程追溯系统，为公众提供药品生产流通信息扫码追溯服务。建设“智慧药房”，对接“互联网+”医院、电子处方转流平台和电子医保系统，实现在线问药、在线就医、在线开方、在线下单、在线报销、24小时“网订店送”送药到家的非接触、全天候服务。</w:t>
      </w:r>
    </w:p>
    <w:p>
      <w:pPr>
        <w:spacing w:line="590" w:lineRule="exact"/>
        <w:ind w:firstLine="640" w:firstLineChars="200"/>
        <w:rPr>
          <w:szCs w:val="32"/>
        </w:rPr>
      </w:pPr>
      <w:bookmarkStart w:id="53" w:name="_Toc73266763"/>
      <w:r>
        <w:rPr>
          <w:rStyle w:val="11"/>
          <w:rFonts w:ascii="Times New Roman" w:hAnsi="Times New Roman"/>
        </w:rPr>
        <w:t>22</w:t>
      </w:r>
      <w:r>
        <w:rPr>
          <w:rStyle w:val="11"/>
          <w:rFonts w:hint="eastAsia" w:ascii="Times New Roman" w:hAnsi="Times New Roman"/>
        </w:rPr>
        <w:t xml:space="preserve">. </w:t>
      </w:r>
      <w:r>
        <w:rPr>
          <w:rStyle w:val="11"/>
          <w:rFonts w:ascii="Times New Roman" w:hAnsi="Times New Roman"/>
        </w:rPr>
        <w:t>推进医药企业绿色智造</w:t>
      </w:r>
      <w:bookmarkEnd w:id="53"/>
      <w:r>
        <w:rPr>
          <w:rStyle w:val="11"/>
          <w:rFonts w:ascii="Times New Roman" w:hAnsi="Times New Roman"/>
        </w:rPr>
        <w:t>。</w:t>
      </w:r>
      <w:r>
        <w:rPr>
          <w:szCs w:val="32"/>
        </w:rPr>
        <w:t>培育医药领域的工业互联网平台，引导鼓励龙头企业开展“智能工厂”“数字化车间”建设，提升智能化、数字化、绿色化水平。坚决落实碳达峰、碳中和要求，鼓励企业采用循环型、低碳化生产方式，加快绿色安全发展。开展药品生产智慧监管“黑匣子”工程和智能制造试点示范，推进企业“上云用云”。加强新一代信息技术在药物设计、模拟筛选、成药性评价、对比研究、性能验证等方面的应用。加大对医药企业技术改造和信息化建设支持力度。</w:t>
      </w: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54" w:name="_Toc73266854"/>
            <w:r>
              <w:rPr>
                <w:rFonts w:eastAsia="黑体"/>
                <w:b w:val="0"/>
                <w:bCs w:val="0"/>
                <w:sz w:val="28"/>
                <w:szCs w:val="28"/>
              </w:rPr>
              <w:t>专栏9</w:t>
            </w:r>
            <w:r>
              <w:rPr>
                <w:rFonts w:hint="eastAsia" w:eastAsia="黑体"/>
                <w:b w:val="0"/>
                <w:bCs w:val="0"/>
                <w:sz w:val="28"/>
                <w:szCs w:val="28"/>
              </w:rPr>
              <w:t xml:space="preserve"> </w:t>
            </w:r>
            <w:r>
              <w:rPr>
                <w:rFonts w:eastAsia="黑体"/>
                <w:b w:val="0"/>
                <w:bCs w:val="0"/>
                <w:sz w:val="28"/>
                <w:szCs w:val="28"/>
              </w:rPr>
              <w:t xml:space="preserve"> “数字药监”综合集成平台建设工程</w:t>
            </w:r>
            <w:bookmarkEnd w:id="54"/>
          </w:p>
          <w:p>
            <w:pPr>
              <w:spacing w:line="360" w:lineRule="exact"/>
              <w:ind w:firstLine="480" w:firstLineChars="200"/>
              <w:rPr>
                <w:kern w:val="0"/>
                <w:sz w:val="24"/>
              </w:rPr>
            </w:pPr>
            <w:r>
              <w:rPr>
                <w:kern w:val="0"/>
                <w:sz w:val="24"/>
              </w:rPr>
              <w:t>按照全领域、全过程、全链条、全生命周期监管的要求，综合运用大数据、云计算、区块链等技术，实现药品、医疗器械、化妆品全领域智控，研发、生产、流通、使用全过程智控，药品生产企业、药品批发企业、药品零售企业、医疗机构全场景智控，审评审批、监督检查、监督抽检、不良反应（事件）监测、稽查执法等全业务智控。</w:t>
            </w:r>
          </w:p>
        </w:tc>
      </w:tr>
    </w:tbl>
    <w:p>
      <w:pPr>
        <w:spacing w:line="590" w:lineRule="exact"/>
        <w:ind w:firstLine="480" w:firstLineChars="200"/>
        <w:rPr>
          <w:rFonts w:hint="eastAsia"/>
          <w:szCs w:val="32"/>
        </w:rPr>
      </w:pPr>
      <w:r>
        <w:rPr>
          <w:sz w:val="24"/>
        </w:rPr>
        <w:pict>
          <v:shape id="对象 3" o:spid="_x0000_s1026" o:spt="75" type="#_x0000_t75" style="position:absolute;left:0pt;margin-left:90.05pt;margin-top:337.3pt;height:300.1pt;width:414.3pt;mso-position-horizontal-relative:page;mso-position-vertical-relative:page;z-index:251660288;mso-width-relative:page;mso-height-relative:page;" o:ole="t" filled="f" o:preferrelative="t" stroked="f" coordsize="21600,21600">
            <v:path/>
            <v:fill on="f" focussize="0,0"/>
            <v:stroke on="f"/>
            <v:imagedata r:id="rId8" o:title=""/>
            <o:lock v:ext="edit" aspectratio="t"/>
          </v:shape>
          <o:OLEObject Type="Embed" ProgID="" ShapeID="对象 3" DrawAspect="Content" ObjectID="_1468075725" r:id="rId7">
            <o:LockedField>false</o:LockedField>
          </o:OLEObject>
        </w:pict>
      </w:r>
    </w:p>
    <w:p>
      <w:pPr>
        <w:spacing w:line="590" w:lineRule="exact"/>
        <w:ind w:firstLine="640" w:firstLineChars="200"/>
        <w:rPr>
          <w:rFonts w:hint="eastAsia"/>
          <w:szCs w:val="32"/>
        </w:rPr>
      </w:pPr>
    </w:p>
    <w:p>
      <w:pPr>
        <w:spacing w:line="590" w:lineRule="exact"/>
        <w:ind w:firstLine="640" w:firstLineChars="200"/>
        <w:rPr>
          <w:rFonts w:hint="eastAsia"/>
          <w:szCs w:val="32"/>
        </w:rPr>
      </w:pPr>
    </w:p>
    <w:p>
      <w:pPr>
        <w:spacing w:line="590" w:lineRule="exact"/>
        <w:ind w:firstLine="640" w:firstLineChars="200"/>
        <w:rPr>
          <w:rFonts w:hint="eastAsia"/>
          <w:szCs w:val="32"/>
        </w:rPr>
      </w:pPr>
    </w:p>
    <w:p>
      <w:pPr>
        <w:spacing w:line="590" w:lineRule="exact"/>
        <w:ind w:firstLine="640" w:firstLineChars="200"/>
        <w:rPr>
          <w:rFonts w:hint="eastAsia"/>
          <w:szCs w:val="32"/>
        </w:rPr>
      </w:pPr>
    </w:p>
    <w:p>
      <w:pPr>
        <w:spacing w:line="590" w:lineRule="exact"/>
        <w:ind w:firstLine="640" w:firstLineChars="200"/>
        <w:rPr>
          <w:rFonts w:hint="eastAsia"/>
          <w:szCs w:val="32"/>
        </w:rPr>
      </w:pPr>
    </w:p>
    <w:p>
      <w:pPr>
        <w:spacing w:line="590" w:lineRule="exact"/>
        <w:ind w:firstLine="640" w:firstLineChars="200"/>
        <w:rPr>
          <w:rFonts w:hint="eastAsia"/>
          <w:szCs w:val="32"/>
        </w:rPr>
      </w:pPr>
    </w:p>
    <w:p>
      <w:pPr>
        <w:spacing w:line="590" w:lineRule="exact"/>
        <w:ind w:firstLine="640" w:firstLineChars="200"/>
        <w:rPr>
          <w:rFonts w:hint="eastAsia"/>
          <w:szCs w:val="32"/>
        </w:rPr>
      </w:pPr>
    </w:p>
    <w:p>
      <w:pPr>
        <w:spacing w:line="590" w:lineRule="exact"/>
        <w:ind w:firstLine="640" w:firstLineChars="200"/>
        <w:rPr>
          <w:rFonts w:hint="eastAsia"/>
          <w:szCs w:val="32"/>
        </w:rPr>
      </w:pPr>
    </w:p>
    <w:p>
      <w:pPr>
        <w:spacing w:before="240" w:beforeLines="100" w:line="590" w:lineRule="exact"/>
        <w:ind w:firstLine="640" w:firstLineChars="200"/>
        <w:rPr>
          <w:rFonts w:hint="eastAsia"/>
          <w:szCs w:val="32"/>
        </w:rPr>
      </w:pPr>
    </w:p>
    <w:p>
      <w:pPr>
        <w:spacing w:line="590" w:lineRule="exact"/>
        <w:ind w:firstLine="640" w:firstLineChars="200"/>
        <w:rPr>
          <w:szCs w:val="32"/>
        </w:rPr>
      </w:pP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4"/>
                <w:szCs w:val="24"/>
              </w:rPr>
            </w:pPr>
            <w:bookmarkStart w:id="55" w:name="_Toc73266855"/>
            <w:r>
              <w:rPr>
                <w:rFonts w:eastAsia="黑体"/>
                <w:b w:val="0"/>
                <w:bCs w:val="0"/>
                <w:sz w:val="28"/>
                <w:szCs w:val="28"/>
              </w:rPr>
              <w:t xml:space="preserve">专栏10 </w:t>
            </w:r>
            <w:r>
              <w:rPr>
                <w:rFonts w:hint="eastAsia" w:eastAsia="黑体"/>
                <w:b w:val="0"/>
                <w:bCs w:val="0"/>
                <w:sz w:val="28"/>
                <w:szCs w:val="28"/>
              </w:rPr>
              <w:t xml:space="preserve"> </w:t>
            </w:r>
            <w:r>
              <w:rPr>
                <w:rFonts w:eastAsia="黑体"/>
                <w:b w:val="0"/>
                <w:bCs w:val="0"/>
                <w:sz w:val="28"/>
                <w:szCs w:val="28"/>
              </w:rPr>
              <w:t>药品安全“非现场”智能化监管改革</w:t>
            </w:r>
            <w:bookmarkEnd w:id="55"/>
          </w:p>
          <w:p>
            <w:pPr>
              <w:spacing w:line="360" w:lineRule="exact"/>
              <w:ind w:firstLine="480" w:firstLineChars="200"/>
              <w:rPr>
                <w:kern w:val="0"/>
                <w:sz w:val="24"/>
              </w:rPr>
            </w:pPr>
            <w:r>
              <w:rPr>
                <w:kern w:val="0"/>
                <w:sz w:val="24"/>
              </w:rPr>
              <w:t>遵循“人机料法环测”管理理念，运用大数据、人工智能、区块链技术，探索“AI+监管”模式。</w:t>
            </w:r>
          </w:p>
          <w:p>
            <w:pPr>
              <w:spacing w:line="360" w:lineRule="exact"/>
              <w:ind w:firstLine="480" w:firstLineChars="200"/>
              <w:rPr>
                <w:kern w:val="0"/>
                <w:sz w:val="24"/>
              </w:rPr>
            </w:pPr>
            <w:r>
              <w:rPr>
                <w:rFonts w:eastAsia="楷体_GB2312"/>
                <w:kern w:val="0"/>
                <w:sz w:val="24"/>
              </w:rPr>
              <w:t>1.</w:t>
            </w:r>
            <w:r>
              <w:rPr>
                <w:rFonts w:hint="eastAsia" w:eastAsia="楷体_GB2312"/>
                <w:kern w:val="0"/>
                <w:sz w:val="24"/>
              </w:rPr>
              <w:t xml:space="preserve"> </w:t>
            </w:r>
            <w:r>
              <w:rPr>
                <w:rFonts w:eastAsia="楷体_GB2312"/>
                <w:kern w:val="0"/>
                <w:sz w:val="24"/>
              </w:rPr>
              <w:t>远程监控智能抓拍系统。</w:t>
            </w:r>
            <w:r>
              <w:rPr>
                <w:kern w:val="0"/>
                <w:sz w:val="24"/>
              </w:rPr>
              <w:t>集成药品温湿度在线监控、冷链药品监控、药品物流管理、关键岗位与环节监控管理等系统，建立感知信息与监管间的联系，提高监管效率。</w:t>
            </w:r>
          </w:p>
          <w:p>
            <w:pPr>
              <w:spacing w:line="360" w:lineRule="exact"/>
              <w:ind w:firstLine="480" w:firstLineChars="200"/>
              <w:rPr>
                <w:kern w:val="0"/>
                <w:sz w:val="24"/>
              </w:rPr>
            </w:pPr>
            <w:r>
              <w:rPr>
                <w:rFonts w:eastAsia="楷体_GB2312"/>
                <w:kern w:val="0"/>
                <w:sz w:val="24"/>
              </w:rPr>
              <w:t>2.</w:t>
            </w:r>
            <w:r>
              <w:rPr>
                <w:rFonts w:hint="eastAsia" w:eastAsia="楷体_GB2312"/>
                <w:kern w:val="0"/>
                <w:sz w:val="24"/>
              </w:rPr>
              <w:t xml:space="preserve"> </w:t>
            </w:r>
            <w:r>
              <w:rPr>
                <w:rFonts w:eastAsia="楷体_GB2312"/>
                <w:kern w:val="0"/>
                <w:sz w:val="24"/>
              </w:rPr>
              <w:t>重点药品生产企业智慧监管“黑匣子”工程。</w:t>
            </w:r>
            <w:r>
              <w:rPr>
                <w:kern w:val="0"/>
                <w:sz w:val="24"/>
              </w:rPr>
              <w:t>依托企业信息化系统，选择影响药品质量的关键信息数据，建立企业物料、生产、质量检验、产品放行等主要参数的数据仓。</w:t>
            </w:r>
          </w:p>
          <w:p>
            <w:pPr>
              <w:spacing w:line="360" w:lineRule="exact"/>
              <w:ind w:firstLine="480" w:firstLineChars="200"/>
              <w:rPr>
                <w:kern w:val="0"/>
                <w:sz w:val="24"/>
              </w:rPr>
            </w:pPr>
            <w:r>
              <w:rPr>
                <w:rFonts w:eastAsia="楷体_GB2312"/>
                <w:kern w:val="0"/>
                <w:sz w:val="24"/>
              </w:rPr>
              <w:t>3.</w:t>
            </w:r>
            <w:r>
              <w:rPr>
                <w:rFonts w:hint="eastAsia" w:eastAsia="楷体_GB2312"/>
                <w:kern w:val="0"/>
                <w:sz w:val="24"/>
              </w:rPr>
              <w:t xml:space="preserve"> </w:t>
            </w:r>
            <w:r>
              <w:rPr>
                <w:rFonts w:eastAsia="楷体_GB2312"/>
                <w:kern w:val="0"/>
                <w:sz w:val="24"/>
              </w:rPr>
              <w:t>信用管理系统。</w:t>
            </w:r>
            <w:r>
              <w:rPr>
                <w:kern w:val="0"/>
                <w:sz w:val="24"/>
              </w:rPr>
              <w:t>构建企业信用评价模型，推动跨行业、跨领域、跨部门失信联合惩戒，并向社会开放。</w:t>
            </w:r>
          </w:p>
          <w:p>
            <w:pPr>
              <w:spacing w:line="360" w:lineRule="exact"/>
              <w:ind w:firstLine="480" w:firstLineChars="200"/>
              <w:rPr>
                <w:kern w:val="0"/>
                <w:sz w:val="24"/>
              </w:rPr>
            </w:pPr>
            <w:r>
              <w:rPr>
                <w:rFonts w:eastAsia="楷体_GB2312"/>
                <w:kern w:val="0"/>
                <w:sz w:val="24"/>
              </w:rPr>
              <w:t>4.</w:t>
            </w:r>
            <w:r>
              <w:rPr>
                <w:rFonts w:hint="eastAsia" w:eastAsia="楷体_GB2312"/>
                <w:kern w:val="0"/>
                <w:sz w:val="24"/>
              </w:rPr>
              <w:t xml:space="preserve"> </w:t>
            </w:r>
            <w:r>
              <w:rPr>
                <w:rFonts w:eastAsia="楷体_GB2312"/>
                <w:kern w:val="0"/>
                <w:sz w:val="24"/>
              </w:rPr>
              <w:t>药品安全大数据舆情监测研判系统。</w:t>
            </w:r>
            <w:r>
              <w:rPr>
                <w:kern w:val="0"/>
                <w:sz w:val="24"/>
              </w:rPr>
              <w:t>汇聚多方面数据，进行综合印证分析，智能识别企业存在缺陷、违法违规行为及其他风险信号。</w:t>
            </w:r>
          </w:p>
        </w:tc>
      </w:tr>
    </w:tbl>
    <w:p>
      <w:pPr>
        <w:pStyle w:val="2"/>
        <w:keepNext w:val="0"/>
        <w:keepLines w:val="0"/>
        <w:spacing w:before="0" w:after="0" w:line="590" w:lineRule="exact"/>
        <w:ind w:firstLine="640" w:firstLineChars="200"/>
        <w:rPr>
          <w:rFonts w:ascii="黑体" w:hAnsi="黑体" w:eastAsia="黑体"/>
          <w:b w:val="0"/>
          <w:sz w:val="32"/>
          <w:szCs w:val="32"/>
        </w:rPr>
      </w:pPr>
      <w:bookmarkStart w:id="56" w:name="_Toc73266764"/>
      <w:r>
        <w:rPr>
          <w:rFonts w:ascii="黑体" w:hAnsi="黑体" w:eastAsia="黑体"/>
          <w:b w:val="0"/>
          <w:sz w:val="32"/>
          <w:szCs w:val="32"/>
        </w:rPr>
        <w:t>八、构建药品安全技术支撑体系</w:t>
      </w:r>
      <w:bookmarkEnd w:id="56"/>
    </w:p>
    <w:p>
      <w:pPr>
        <w:spacing w:line="590" w:lineRule="exact"/>
        <w:ind w:firstLine="640" w:firstLineChars="200"/>
        <w:rPr>
          <w:szCs w:val="32"/>
        </w:rPr>
      </w:pPr>
      <w:bookmarkStart w:id="57" w:name="_Hlk53968522"/>
      <w:bookmarkStart w:id="58" w:name="_Toc73266765"/>
      <w:r>
        <w:rPr>
          <w:rStyle w:val="11"/>
          <w:rFonts w:ascii="Times New Roman" w:hAnsi="Times New Roman"/>
        </w:rPr>
        <w:t>23</w:t>
      </w:r>
      <w:bookmarkEnd w:id="57"/>
      <w:r>
        <w:rPr>
          <w:rStyle w:val="11"/>
          <w:rFonts w:hint="eastAsia" w:ascii="Times New Roman" w:hAnsi="Times New Roman"/>
        </w:rPr>
        <w:t xml:space="preserve">. </w:t>
      </w:r>
      <w:r>
        <w:rPr>
          <w:rStyle w:val="11"/>
          <w:rFonts w:ascii="Times New Roman" w:hAnsi="Times New Roman"/>
        </w:rPr>
        <w:t>提升技术审评体系</w:t>
      </w:r>
      <w:bookmarkEnd w:id="58"/>
      <w:r>
        <w:rPr>
          <w:rStyle w:val="11"/>
          <w:rFonts w:ascii="Times New Roman" w:hAnsi="Times New Roman"/>
        </w:rPr>
        <w:t>。</w:t>
      </w:r>
      <w:r>
        <w:rPr>
          <w:szCs w:val="32"/>
        </w:rPr>
        <w:t>瞄准生命健康科创高地建设的战略需求，优化资源配置，推进全过程电子化审评审批，提高审评审批效能，打造国内领先的省级药品医疗器械化妆品技术审评机构，推动审评工作技术标准、技术指南等逐步与国际接轨。优化</w:t>
      </w:r>
      <w:r>
        <w:rPr>
          <w:spacing w:val="2"/>
          <w:szCs w:val="32"/>
        </w:rPr>
        <w:t>应急和创新药品医疗器械研审联动工作机制，完善第二类创新医疗器械特别审批、优先审批机制，鼓励新技术应用和新产品研发。加强与国家药监局药品审评检查长三角分中心、医疗器械技术审评检查长三角分中心的对接沟通，推动长三角区域审评结果互认。</w:t>
      </w:r>
    </w:p>
    <w:p>
      <w:pPr>
        <w:spacing w:line="565" w:lineRule="exact"/>
        <w:ind w:firstLine="640" w:firstLineChars="200"/>
        <w:rPr>
          <w:szCs w:val="32"/>
        </w:rPr>
      </w:pPr>
      <w:bookmarkStart w:id="59" w:name="_Toc73266766"/>
      <w:r>
        <w:rPr>
          <w:rStyle w:val="11"/>
          <w:rFonts w:ascii="Times New Roman" w:hAnsi="Times New Roman"/>
        </w:rPr>
        <w:t>24</w:t>
      </w:r>
      <w:r>
        <w:rPr>
          <w:rStyle w:val="11"/>
          <w:rFonts w:hint="eastAsia" w:ascii="Times New Roman" w:hAnsi="Times New Roman"/>
        </w:rPr>
        <w:t xml:space="preserve">. </w:t>
      </w:r>
      <w:r>
        <w:rPr>
          <w:rStyle w:val="11"/>
          <w:rFonts w:ascii="Times New Roman" w:hAnsi="Times New Roman"/>
        </w:rPr>
        <w:t>提升检验检测体系</w:t>
      </w:r>
      <w:bookmarkEnd w:id="59"/>
      <w:r>
        <w:rPr>
          <w:rStyle w:val="11"/>
          <w:rFonts w:ascii="Times New Roman" w:hAnsi="Times New Roman"/>
        </w:rPr>
        <w:t>。</w:t>
      </w:r>
      <w:r>
        <w:rPr>
          <w:szCs w:val="32"/>
        </w:rPr>
        <w:t>构建“2+N”技术支撑协同体系，实施“药检”提升工程，以省食品药品检验研究院、省医疗器械检验研究院为龙头，加强省市县三级药品医疗器械化妆品检验检测能力建设，形成上下协同、功能互补、各具特色、高效运行的技术支撑协同机制。省级重点提升生物医药、生物材料、医学影像设备、医用机器人、生物学安全评价、化妆品安全评估与功效评价、化妆品原料以及公共卫生应急检验等领域的检验研究能力，推进相关领域省级重点实验室建设；加强疫苗等生物制品批签发能力建设，对全省在产生物制品进行全项检测；围绕创新药物研发、精准医疗、化妆品体外评价技术等前沿领域，加强与国际药品检验机构交流合作。市级加强日常药品医疗器械安全监管技术支撑能力建设。县级加强快速检测能力建设。鼓励和支持市县级依据当地产业发展实际，提升具有特色的检验研究能力。推进检验检测能力达标建设，支持创建国家药监局重点实验室，开展浙江省药品监管重点实验室建设。</w:t>
      </w:r>
    </w:p>
    <w:p>
      <w:pPr>
        <w:spacing w:line="565" w:lineRule="exact"/>
        <w:ind w:firstLine="640" w:firstLineChars="200"/>
        <w:rPr>
          <w:szCs w:val="32"/>
        </w:rPr>
      </w:pPr>
      <w:bookmarkStart w:id="60" w:name="_Toc73266767"/>
      <w:r>
        <w:rPr>
          <w:rStyle w:val="11"/>
          <w:rFonts w:ascii="Times New Roman" w:hAnsi="Times New Roman"/>
        </w:rPr>
        <w:t>25</w:t>
      </w:r>
      <w:r>
        <w:rPr>
          <w:rStyle w:val="11"/>
          <w:rFonts w:hint="eastAsia" w:ascii="Times New Roman" w:hAnsi="Times New Roman"/>
        </w:rPr>
        <w:t xml:space="preserve">. </w:t>
      </w:r>
      <w:r>
        <w:rPr>
          <w:rStyle w:val="11"/>
          <w:rFonts w:ascii="Times New Roman" w:hAnsi="Times New Roman"/>
        </w:rPr>
        <w:t>建设药物警戒体系</w:t>
      </w:r>
      <w:bookmarkEnd w:id="60"/>
      <w:r>
        <w:rPr>
          <w:rStyle w:val="11"/>
          <w:rFonts w:ascii="Times New Roman" w:hAnsi="Times New Roman"/>
        </w:rPr>
        <w:t>。</w:t>
      </w:r>
      <w:r>
        <w:rPr>
          <w:szCs w:val="32"/>
        </w:rPr>
        <w:t>建立健全药物医疗器械化妆品警戒制度和</w:t>
      </w:r>
      <w:bookmarkStart w:id="61" w:name="_Hlk72446046"/>
      <w:r>
        <w:rPr>
          <w:szCs w:val="32"/>
        </w:rPr>
        <w:t>不良反应（事件）监测</w:t>
      </w:r>
      <w:bookmarkEnd w:id="61"/>
      <w:r>
        <w:rPr>
          <w:szCs w:val="32"/>
        </w:rPr>
        <w:t>制度，落实上市许可持有人（注册人）药物、医疗器械、化妆品警戒主体责任。加强省市县三级不良反应（事件）监测体系和监测评价能力建设，协同上市许可持有人（注册人）、医疗机构及消费群体，完善药品医疗器械化妆品安全合理使用监测机制，强化全生命周期风险防控。持续提升不良反应（事件）报告质量，药品、化妆品不良反应报告质量抽样评估分别达到96分、95分以上。</w:t>
      </w:r>
    </w:p>
    <w:p>
      <w:pPr>
        <w:spacing w:line="565" w:lineRule="exact"/>
        <w:ind w:firstLine="640" w:firstLineChars="200"/>
        <w:rPr>
          <w:szCs w:val="32"/>
        </w:rPr>
      </w:pPr>
      <w:bookmarkStart w:id="62" w:name="_Toc73266768"/>
      <w:r>
        <w:rPr>
          <w:rStyle w:val="11"/>
          <w:rFonts w:ascii="Times New Roman" w:hAnsi="Times New Roman"/>
        </w:rPr>
        <w:t>26</w:t>
      </w:r>
      <w:r>
        <w:rPr>
          <w:rStyle w:val="11"/>
          <w:rFonts w:hint="eastAsia" w:ascii="Times New Roman" w:hAnsi="Times New Roman"/>
        </w:rPr>
        <w:t xml:space="preserve">. </w:t>
      </w:r>
      <w:r>
        <w:rPr>
          <w:rStyle w:val="11"/>
          <w:rFonts w:ascii="Times New Roman" w:hAnsi="Times New Roman"/>
        </w:rPr>
        <w:t>深化监管科学研究</w:t>
      </w:r>
      <w:bookmarkEnd w:id="62"/>
      <w:r>
        <w:rPr>
          <w:rStyle w:val="11"/>
          <w:rFonts w:ascii="Times New Roman" w:hAnsi="Times New Roman"/>
        </w:rPr>
        <w:t>。</w:t>
      </w:r>
      <w:r>
        <w:rPr>
          <w:szCs w:val="32"/>
        </w:rPr>
        <w:t>实施药品监管科学行动计划，对标国际先进、国内领先，支持浙江大学等高校创建国家药品监管科学研究基地，依托省内高校及相关研究机构建立浙江省药品监管科学研究基地，围绕夯实药品安全基础、推动生命健康科创高地建设等，加大科研攻关和研发成果转化，为提高科学决策和科学监管水平提供智力支持。</w:t>
      </w: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4"/>
                <w:szCs w:val="24"/>
              </w:rPr>
            </w:pPr>
            <w:bookmarkStart w:id="63" w:name="_Toc73266856"/>
            <w:r>
              <w:rPr>
                <w:rFonts w:eastAsia="黑体"/>
                <w:b w:val="0"/>
                <w:bCs w:val="0"/>
                <w:sz w:val="28"/>
                <w:szCs w:val="28"/>
              </w:rPr>
              <w:t xml:space="preserve">专栏11 </w:t>
            </w:r>
            <w:r>
              <w:rPr>
                <w:rFonts w:hint="eastAsia" w:eastAsia="黑体"/>
                <w:b w:val="0"/>
                <w:bCs w:val="0"/>
                <w:sz w:val="28"/>
                <w:szCs w:val="28"/>
              </w:rPr>
              <w:t xml:space="preserve"> </w:t>
            </w:r>
            <w:r>
              <w:rPr>
                <w:rFonts w:eastAsia="黑体"/>
                <w:b w:val="0"/>
                <w:bCs w:val="0"/>
                <w:sz w:val="28"/>
                <w:szCs w:val="28"/>
              </w:rPr>
              <w:t>药品安全技术支撑能力提升工程</w:t>
            </w:r>
            <w:bookmarkEnd w:id="63"/>
          </w:p>
          <w:p>
            <w:pPr>
              <w:spacing w:line="360" w:lineRule="exact"/>
              <w:ind w:firstLine="480" w:firstLineChars="200"/>
              <w:rPr>
                <w:kern w:val="0"/>
                <w:sz w:val="24"/>
              </w:rPr>
            </w:pPr>
            <w:r>
              <w:rPr>
                <w:rFonts w:eastAsia="楷体_GB2312"/>
                <w:kern w:val="0"/>
                <w:sz w:val="24"/>
              </w:rPr>
              <w:t>1.</w:t>
            </w:r>
            <w:r>
              <w:rPr>
                <w:rFonts w:hint="eastAsia" w:eastAsia="楷体_GB2312"/>
                <w:kern w:val="0"/>
                <w:sz w:val="24"/>
              </w:rPr>
              <w:t xml:space="preserve"> </w:t>
            </w:r>
            <w:r>
              <w:rPr>
                <w:rFonts w:eastAsia="楷体_GB2312"/>
                <w:kern w:val="0"/>
                <w:sz w:val="24"/>
              </w:rPr>
              <w:t>技术审评能力提升。</w:t>
            </w:r>
            <w:r>
              <w:rPr>
                <w:kern w:val="0"/>
                <w:sz w:val="24"/>
              </w:rPr>
              <w:t>依托省药品化妆品审评中心，建设一批药品上市后变更政企服务空间站，提升药品上市后变更分类和变更研究的管理服务能力。发挥省器械审评中心“三位一体”职能，以心脑血管影像设备、呼吸慢病管理、机器人控制、病理扫描、分子诊断、辅助生殖等为重点专业方向，提升审评要点、指导原则、行业与团体标准等制订能力。</w:t>
            </w:r>
          </w:p>
          <w:p>
            <w:pPr>
              <w:spacing w:line="360" w:lineRule="exact"/>
              <w:ind w:firstLine="480" w:firstLineChars="200"/>
              <w:rPr>
                <w:kern w:val="0"/>
                <w:sz w:val="24"/>
              </w:rPr>
            </w:pPr>
            <w:r>
              <w:rPr>
                <w:rFonts w:eastAsia="楷体_GB2312"/>
                <w:kern w:val="0"/>
                <w:sz w:val="24"/>
              </w:rPr>
              <w:t>2.</w:t>
            </w:r>
            <w:r>
              <w:rPr>
                <w:rFonts w:hint="eastAsia" w:eastAsia="楷体_GB2312"/>
                <w:kern w:val="0"/>
                <w:sz w:val="24"/>
              </w:rPr>
              <w:t xml:space="preserve"> </w:t>
            </w:r>
            <w:r>
              <w:rPr>
                <w:rFonts w:eastAsia="楷体_GB2312"/>
                <w:kern w:val="0"/>
                <w:sz w:val="24"/>
              </w:rPr>
              <w:t>检验检测能力提升。</w:t>
            </w:r>
            <w:r>
              <w:rPr>
                <w:kern w:val="0"/>
                <w:sz w:val="24"/>
              </w:rPr>
              <w:t>建设中药分子生物学、化学药品中管控毒性物质、高端制剂质控、药用辅料和包材综合评价、化妆品功效评价、医用光学、医用机器人、医疗器械安全评价等专业领域的实验室。完善非法添加检测技术平台。建立药品检验检测数据库。</w:t>
            </w:r>
          </w:p>
          <w:p>
            <w:pPr>
              <w:spacing w:line="360" w:lineRule="exact"/>
              <w:ind w:firstLine="480" w:firstLineChars="200"/>
              <w:rPr>
                <w:kern w:val="0"/>
                <w:sz w:val="24"/>
              </w:rPr>
            </w:pPr>
            <w:r>
              <w:rPr>
                <w:rFonts w:eastAsia="楷体_GB2312"/>
                <w:kern w:val="0"/>
                <w:sz w:val="24"/>
              </w:rPr>
              <w:t>3.</w:t>
            </w:r>
            <w:r>
              <w:rPr>
                <w:rFonts w:hint="eastAsia" w:eastAsia="楷体_GB2312"/>
                <w:kern w:val="0"/>
                <w:sz w:val="24"/>
              </w:rPr>
              <w:t xml:space="preserve"> </w:t>
            </w:r>
            <w:r>
              <w:rPr>
                <w:rFonts w:eastAsia="楷体_GB2312"/>
                <w:kern w:val="0"/>
                <w:sz w:val="24"/>
              </w:rPr>
              <w:t>生物制品检验能力建设。</w:t>
            </w:r>
            <w:r>
              <w:rPr>
                <w:kern w:val="0"/>
                <w:sz w:val="24"/>
              </w:rPr>
              <w:t>根据我省医药产业发展需求，建设具备动物攻毒试验、感染模型建立、抗传染病药物筛选、疫苗研制等技术能力的P3实验室；建设疫苗批签发实验室，完成我省在产品种疫苗批签发能力建设。</w:t>
            </w:r>
          </w:p>
          <w:p>
            <w:pPr>
              <w:spacing w:line="360" w:lineRule="exact"/>
              <w:ind w:firstLine="480" w:firstLineChars="200"/>
              <w:rPr>
                <w:kern w:val="0"/>
                <w:sz w:val="24"/>
              </w:rPr>
            </w:pPr>
            <w:r>
              <w:rPr>
                <w:rFonts w:eastAsia="楷体_GB2312"/>
                <w:kern w:val="0"/>
                <w:sz w:val="24"/>
              </w:rPr>
              <w:t>4.</w:t>
            </w:r>
            <w:r>
              <w:rPr>
                <w:rFonts w:hint="eastAsia" w:eastAsia="楷体_GB2312"/>
                <w:kern w:val="0"/>
                <w:sz w:val="24"/>
              </w:rPr>
              <w:t xml:space="preserve"> </w:t>
            </w:r>
            <w:r>
              <w:rPr>
                <w:rFonts w:eastAsia="楷体_GB2312"/>
                <w:kern w:val="0"/>
                <w:sz w:val="24"/>
              </w:rPr>
              <w:t>药物警戒能力建设。</w:t>
            </w:r>
            <w:r>
              <w:rPr>
                <w:kern w:val="0"/>
                <w:sz w:val="24"/>
              </w:rPr>
              <w:t>设立药品上市许可持有人药物警戒哨点20个、医疗器械不良事件监测哨点30个、化妆品不良反应监测评价基地2个；药品不良反应监测哨点医院新的/严重的报告比例不低于40%，严重报告比例不低于18%；加强监测评价的方法和技术研究，关注药械上市后风险，对15个品种开展上市后安全性评价研究。</w:t>
            </w:r>
          </w:p>
          <w:p>
            <w:pPr>
              <w:spacing w:line="360" w:lineRule="exact"/>
              <w:ind w:firstLine="480" w:firstLineChars="200"/>
              <w:rPr>
                <w:kern w:val="0"/>
                <w:sz w:val="24"/>
              </w:rPr>
            </w:pPr>
            <w:r>
              <w:rPr>
                <w:rFonts w:eastAsia="楷体_GB2312"/>
                <w:kern w:val="0"/>
                <w:sz w:val="24"/>
              </w:rPr>
              <w:t>5.</w:t>
            </w:r>
            <w:r>
              <w:rPr>
                <w:rFonts w:hint="eastAsia" w:eastAsia="楷体_GB2312"/>
                <w:kern w:val="0"/>
                <w:sz w:val="24"/>
              </w:rPr>
              <w:t xml:space="preserve"> </w:t>
            </w:r>
            <w:r>
              <w:rPr>
                <w:rFonts w:eastAsia="楷体_GB2312"/>
                <w:kern w:val="0"/>
                <w:sz w:val="24"/>
              </w:rPr>
              <w:t>创新研究载体建设。</w:t>
            </w:r>
            <w:r>
              <w:rPr>
                <w:kern w:val="0"/>
                <w:sz w:val="24"/>
              </w:rPr>
              <w:t>构建国家、省两级药品监管科学研究中心、药品监管重点实验室体系，支持开展监管科学理论研究、技术创新、成果转化，推出一批监管新制度、新工具、新标准、新方法。</w:t>
            </w:r>
          </w:p>
        </w:tc>
      </w:tr>
    </w:tbl>
    <w:p>
      <w:pPr>
        <w:pStyle w:val="2"/>
        <w:keepNext w:val="0"/>
        <w:keepLines w:val="0"/>
        <w:spacing w:before="0" w:after="0" w:line="590" w:lineRule="exact"/>
        <w:ind w:firstLine="640" w:firstLineChars="200"/>
        <w:rPr>
          <w:rFonts w:ascii="黑体" w:hAnsi="黑体" w:eastAsia="黑体"/>
          <w:b w:val="0"/>
          <w:sz w:val="32"/>
          <w:szCs w:val="32"/>
        </w:rPr>
      </w:pPr>
      <w:bookmarkStart w:id="64" w:name="_Toc73266769"/>
      <w:r>
        <w:rPr>
          <w:rFonts w:ascii="黑体" w:hAnsi="黑体" w:eastAsia="黑体"/>
          <w:b w:val="0"/>
          <w:sz w:val="32"/>
          <w:szCs w:val="32"/>
        </w:rPr>
        <w:t>九、构建药品安全社会共治体系</w:t>
      </w:r>
      <w:bookmarkEnd w:id="64"/>
    </w:p>
    <w:p>
      <w:pPr>
        <w:pStyle w:val="10"/>
        <w:spacing w:line="590" w:lineRule="exact"/>
        <w:ind w:firstLine="640" w:firstLineChars="200"/>
        <w:jc w:val="both"/>
        <w:rPr>
          <w:rFonts w:ascii="Times New Roman" w:hAnsi="Times New Roman" w:eastAsia="仿宋_GB2312" w:cs="Times New Roman"/>
          <w:sz w:val="32"/>
          <w:szCs w:val="32"/>
        </w:rPr>
      </w:pPr>
      <w:bookmarkStart w:id="65" w:name="_Toc73266770"/>
      <w:r>
        <w:rPr>
          <w:rStyle w:val="11"/>
          <w:rFonts w:ascii="Times New Roman" w:hAnsi="Times New Roman" w:cs="Times New Roman"/>
        </w:rPr>
        <w:t>27</w:t>
      </w:r>
      <w:r>
        <w:rPr>
          <w:rStyle w:val="11"/>
          <w:rFonts w:hint="eastAsia" w:ascii="Times New Roman" w:hAnsi="Times New Roman" w:cs="Times New Roman"/>
        </w:rPr>
        <w:t xml:space="preserve">. </w:t>
      </w:r>
      <w:r>
        <w:rPr>
          <w:rStyle w:val="11"/>
          <w:rFonts w:ascii="Times New Roman" w:hAnsi="Times New Roman" w:cs="Times New Roman"/>
        </w:rPr>
        <w:t>强化行业自律</w:t>
      </w:r>
      <w:bookmarkEnd w:id="65"/>
      <w:r>
        <w:rPr>
          <w:rStyle w:val="11"/>
          <w:rFonts w:ascii="Times New Roman" w:hAnsi="Times New Roman" w:cs="Times New Roman"/>
        </w:rPr>
        <w:t>。</w:t>
      </w:r>
      <w:r>
        <w:rPr>
          <w:rFonts w:ascii="Times New Roman" w:hAnsi="Times New Roman" w:eastAsia="仿宋_GB2312" w:cs="Times New Roman"/>
          <w:sz w:val="32"/>
          <w:szCs w:val="32"/>
        </w:rPr>
        <w:t>大力弘扬药德精神、工匠精神、专业精神，提升医药行业从业人员“药德、药规、药技”素养。大力弘扬“戒欺”文化，建立和培育重要产品和环节的行业协会，加强对行业协会的引导和监管，推进医药行业诚信体系建设，支持制订行规行约，发挥自我管理、自我服务、自我监督功能。健全药品安全责任人约谈制度，加强企业负责人和从业人员教育培训，强化法律意识、安全意识、责任意识，促进企业主体责任落实。强化医药行业“金蓝领”人才培育，实施执业药师能力和学历提升工程，增强药事服务能力。</w:t>
      </w:r>
    </w:p>
    <w:p>
      <w:pPr>
        <w:pStyle w:val="10"/>
        <w:spacing w:line="590" w:lineRule="exact"/>
        <w:ind w:firstLine="640" w:firstLineChars="200"/>
        <w:jc w:val="both"/>
        <w:rPr>
          <w:rFonts w:ascii="Times New Roman" w:hAnsi="Times New Roman" w:eastAsia="仿宋_GB2312" w:cs="Times New Roman"/>
          <w:sz w:val="32"/>
          <w:szCs w:val="32"/>
        </w:rPr>
      </w:pPr>
      <w:bookmarkStart w:id="66" w:name="_Toc73266771"/>
      <w:r>
        <w:rPr>
          <w:rStyle w:val="11"/>
          <w:rFonts w:ascii="Times New Roman" w:hAnsi="Times New Roman" w:cs="Times New Roman"/>
        </w:rPr>
        <w:t>28</w:t>
      </w:r>
      <w:r>
        <w:rPr>
          <w:rStyle w:val="11"/>
          <w:rFonts w:hint="eastAsia" w:ascii="Times New Roman" w:hAnsi="Times New Roman" w:cs="Times New Roman"/>
        </w:rPr>
        <w:t xml:space="preserve">. </w:t>
      </w:r>
      <w:r>
        <w:rPr>
          <w:rStyle w:val="11"/>
          <w:rFonts w:ascii="Times New Roman" w:hAnsi="Times New Roman" w:cs="Times New Roman"/>
        </w:rPr>
        <w:t>强化社会监督</w:t>
      </w:r>
      <w:bookmarkEnd w:id="66"/>
      <w:r>
        <w:rPr>
          <w:rStyle w:val="11"/>
          <w:rFonts w:ascii="Times New Roman" w:hAnsi="Times New Roman" w:cs="Times New Roman"/>
        </w:rPr>
        <w:t>。</w:t>
      </w:r>
      <w:r>
        <w:rPr>
          <w:rFonts w:ascii="Times New Roman" w:hAnsi="Times New Roman" w:eastAsia="仿宋_GB2312" w:cs="Times New Roman"/>
          <w:sz w:val="32"/>
          <w:szCs w:val="32"/>
        </w:rPr>
        <w:t>构建监管部门、行业企业、社会公众之间良好有序的风险沟通机制，提升公众对药品安全的科学、理性认知水平。发挥公众、媒体、保险、专家等多方监督作用，促进行政监管与社会监督的良性互动，实现对违法违规者的行政监管、市场规律“双惩戒”。加大药品监管法规、监管举措和监管成效宣传力度，传播药品安全主流声音，树立药品安全主流价值，提升药品安全主流形象。建立健全药品安全长效宣传机制，融合科普与普法宣传，建设药品安全科普宣传馆、中药数字化标本馆，广泛开展安全用药月、医疗器械宣传周、化妆品安全科普宣传周等活动，推动药品安全知识进医院、进社区、进校园。</w:t>
      </w:r>
    </w:p>
    <w:p>
      <w:pPr>
        <w:spacing w:line="590" w:lineRule="exact"/>
        <w:ind w:firstLine="640" w:firstLineChars="200"/>
        <w:rPr>
          <w:szCs w:val="32"/>
        </w:rPr>
      </w:pPr>
      <w:bookmarkStart w:id="67" w:name="_Toc73266772"/>
      <w:r>
        <w:rPr>
          <w:rStyle w:val="11"/>
          <w:rFonts w:ascii="Times New Roman" w:hAnsi="Times New Roman"/>
        </w:rPr>
        <w:t>29</w:t>
      </w:r>
      <w:r>
        <w:rPr>
          <w:rStyle w:val="11"/>
          <w:rFonts w:hint="eastAsia" w:ascii="Times New Roman" w:hAnsi="Times New Roman"/>
        </w:rPr>
        <w:t xml:space="preserve">. </w:t>
      </w:r>
      <w:r>
        <w:rPr>
          <w:rStyle w:val="11"/>
          <w:rFonts w:ascii="Times New Roman" w:hAnsi="Times New Roman"/>
        </w:rPr>
        <w:t>强化信用监管</w:t>
      </w:r>
      <w:bookmarkEnd w:id="67"/>
      <w:r>
        <w:rPr>
          <w:rStyle w:val="11"/>
          <w:rFonts w:ascii="Times New Roman" w:hAnsi="Times New Roman"/>
        </w:rPr>
        <w:t>。</w:t>
      </w:r>
      <w:r>
        <w:rPr>
          <w:szCs w:val="32"/>
        </w:rPr>
        <w:t>深度参与“信用浙江”建设，优化药品领域信用评价和行业信用监管责任体系，推动建立以信用为基础的分级分类监管机制，逐步在审批服务、行政监管、公共服务等行政管理事项中应用公共信用信息，实现与各部门的信息互通及信用奖惩联动。积极引入保险、认证、审计、咨询等第三方机构参与监管，探索药品安全责任保险等制度。</w:t>
      </w: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4"/>
                <w:szCs w:val="24"/>
              </w:rPr>
            </w:pPr>
            <w:bookmarkStart w:id="68" w:name="_Toc73266857"/>
            <w:r>
              <w:rPr>
                <w:rFonts w:eastAsia="黑体"/>
                <w:b w:val="0"/>
                <w:bCs w:val="0"/>
                <w:sz w:val="28"/>
                <w:szCs w:val="28"/>
              </w:rPr>
              <w:t>专栏12  药品安全科普基地建设工程</w:t>
            </w:r>
            <w:bookmarkEnd w:id="68"/>
          </w:p>
          <w:p>
            <w:pPr>
              <w:spacing w:line="360" w:lineRule="exact"/>
              <w:ind w:firstLine="480" w:firstLineChars="200"/>
              <w:rPr>
                <w:kern w:val="0"/>
                <w:sz w:val="24"/>
              </w:rPr>
            </w:pPr>
            <w:bookmarkStart w:id="69" w:name="_Hlk71777324"/>
            <w:r>
              <w:rPr>
                <w:rFonts w:eastAsia="楷体_GB2312"/>
                <w:kern w:val="0"/>
                <w:sz w:val="24"/>
              </w:rPr>
              <w:t>1.</w:t>
            </w:r>
            <w:r>
              <w:rPr>
                <w:rFonts w:hint="eastAsia" w:eastAsia="楷体_GB2312"/>
                <w:kern w:val="0"/>
                <w:sz w:val="24"/>
              </w:rPr>
              <w:t xml:space="preserve"> </w:t>
            </w:r>
            <w:r>
              <w:rPr>
                <w:rFonts w:eastAsia="楷体_GB2312"/>
                <w:kern w:val="0"/>
                <w:sz w:val="24"/>
              </w:rPr>
              <w:t>药品安全科普宣传馆</w:t>
            </w:r>
            <w:bookmarkEnd w:id="69"/>
            <w:r>
              <w:rPr>
                <w:rFonts w:eastAsia="楷体_GB2312"/>
                <w:kern w:val="0"/>
                <w:sz w:val="24"/>
              </w:rPr>
              <w:t>。</w:t>
            </w:r>
            <w:r>
              <w:rPr>
                <w:kern w:val="0"/>
                <w:sz w:val="24"/>
              </w:rPr>
              <w:t>建设集科普（普法）教育、公众咨询服务、现场体验、沟通交流于一体、国内一流的药品安全科普教育基地。</w:t>
            </w:r>
          </w:p>
          <w:p>
            <w:pPr>
              <w:spacing w:line="360" w:lineRule="exact"/>
              <w:ind w:firstLine="480" w:firstLineChars="200"/>
              <w:rPr>
                <w:kern w:val="0"/>
                <w:sz w:val="24"/>
              </w:rPr>
            </w:pPr>
            <w:r>
              <w:rPr>
                <w:rFonts w:eastAsia="楷体_GB2312"/>
                <w:kern w:val="0"/>
                <w:sz w:val="24"/>
              </w:rPr>
              <w:t>2.</w:t>
            </w:r>
            <w:r>
              <w:rPr>
                <w:rFonts w:hint="eastAsia" w:eastAsia="楷体_GB2312"/>
                <w:kern w:val="0"/>
                <w:sz w:val="24"/>
              </w:rPr>
              <w:t xml:space="preserve"> </w:t>
            </w:r>
            <w:r>
              <w:rPr>
                <w:rFonts w:eastAsia="楷体_GB2312"/>
                <w:kern w:val="0"/>
                <w:sz w:val="24"/>
              </w:rPr>
              <w:t>中药数字化标本馆。</w:t>
            </w:r>
            <w:r>
              <w:rPr>
                <w:kern w:val="0"/>
                <w:sz w:val="24"/>
              </w:rPr>
              <w:t>推进中药数字化标本馆联网系统建设，开发面向企业、公众、基层的多功能网络系统，开展专业化、多元化、数字化服务。结合实体标本馆、中药百草园、药用植物种质资源库建设，建成品类丰富、功能齐全、服务领先的中药综合科普基地。</w:t>
            </w:r>
          </w:p>
        </w:tc>
      </w:tr>
    </w:tbl>
    <w:p>
      <w:pPr>
        <w:pStyle w:val="2"/>
        <w:keepNext w:val="0"/>
        <w:keepLines w:val="0"/>
        <w:spacing w:before="0" w:after="0" w:line="590" w:lineRule="exact"/>
        <w:ind w:firstLine="640" w:firstLineChars="200"/>
        <w:rPr>
          <w:rFonts w:ascii="黑体" w:hAnsi="黑体" w:eastAsia="黑体"/>
          <w:b w:val="0"/>
          <w:sz w:val="32"/>
          <w:szCs w:val="32"/>
        </w:rPr>
      </w:pPr>
      <w:bookmarkStart w:id="70" w:name="_Toc73266773"/>
      <w:r>
        <w:rPr>
          <w:rFonts w:ascii="黑体" w:hAnsi="黑体" w:eastAsia="黑体"/>
          <w:b w:val="0"/>
          <w:sz w:val="32"/>
          <w:szCs w:val="32"/>
        </w:rPr>
        <w:t>十、构建</w:t>
      </w:r>
      <w:bookmarkStart w:id="71" w:name="_Hlk53968627"/>
      <w:r>
        <w:rPr>
          <w:rFonts w:ascii="黑体" w:hAnsi="黑体" w:eastAsia="黑体"/>
          <w:b w:val="0"/>
          <w:sz w:val="32"/>
          <w:szCs w:val="32"/>
        </w:rPr>
        <w:t>生命健康科创赋能体系</w:t>
      </w:r>
      <w:bookmarkEnd w:id="70"/>
    </w:p>
    <w:p>
      <w:pPr>
        <w:spacing w:line="590" w:lineRule="exact"/>
        <w:ind w:firstLine="640" w:firstLineChars="200"/>
        <w:rPr>
          <w:szCs w:val="32"/>
        </w:rPr>
      </w:pPr>
      <w:bookmarkStart w:id="72" w:name="_Toc73266774"/>
      <w:r>
        <w:rPr>
          <w:rStyle w:val="11"/>
          <w:rFonts w:ascii="Times New Roman" w:hAnsi="Times New Roman"/>
        </w:rPr>
        <w:t>30</w:t>
      </w:r>
      <w:r>
        <w:rPr>
          <w:rStyle w:val="11"/>
          <w:rFonts w:hint="eastAsia" w:ascii="Times New Roman" w:hAnsi="Times New Roman"/>
        </w:rPr>
        <w:t xml:space="preserve">. </w:t>
      </w:r>
      <w:r>
        <w:rPr>
          <w:rStyle w:val="11"/>
          <w:rFonts w:ascii="Times New Roman" w:hAnsi="Times New Roman"/>
        </w:rPr>
        <w:t>营造医药“雨林”生态</w:t>
      </w:r>
      <w:bookmarkEnd w:id="72"/>
      <w:r>
        <w:rPr>
          <w:rStyle w:val="11"/>
          <w:rFonts w:ascii="Times New Roman" w:hAnsi="Times New Roman"/>
        </w:rPr>
        <w:t>。</w:t>
      </w:r>
      <w:r>
        <w:rPr>
          <w:szCs w:val="32"/>
        </w:rPr>
        <w:t>以数字化改革引领“最多跑一次”“证照分离”、告知承诺、“全省通办”、智能秒办等改革，开展药品全生命周期监管“一件事”改革，探索药品“大流通”监管改革，省级审批事项100%“全程网办、一次不跑”，推进“掌上办事”“掌上办公”建设，促进新产品、新技术、新模式、新政策、新制度在医药领域蓬勃兴起，营造全国领先的创新发展环境。构筑产业链生态网络，深化“三服务”产业赋能活动，在医药产业集聚区布局医药创新和审评柔性服务站，助力杭州城西科创大走廊、杭州钱塘区、绍兴滨海新区、浙东南化学原料药产业基地、湖州美妆小镇、台州仙居医械小镇、江南药镇等医药产业集群和特色小镇加速发展。建设医药科创数字赋能平台，推动产业与政策、技术、服务“三对接”。</w:t>
      </w:r>
      <w:r>
        <w:rPr>
          <w:rFonts w:hint="eastAsia"/>
          <w:szCs w:val="32"/>
        </w:rPr>
        <w:t>加强医药类高校和学科建设，发挥浙江省专业技术人员继续教育基地等平台作用，</w:t>
      </w:r>
      <w:bookmarkStart w:id="109" w:name="_GoBack"/>
      <w:bookmarkEnd w:id="109"/>
      <w:r>
        <w:rPr>
          <w:szCs w:val="32"/>
        </w:rPr>
        <w:t>创新立体式、多层次的人才培养和引进模式，强化医药产业人才支撑。</w:t>
      </w:r>
    </w:p>
    <w:p>
      <w:pPr>
        <w:spacing w:line="590" w:lineRule="exact"/>
        <w:ind w:firstLine="640" w:firstLineChars="200"/>
        <w:rPr>
          <w:szCs w:val="32"/>
        </w:rPr>
      </w:pPr>
      <w:bookmarkStart w:id="73" w:name="_Toc73266775"/>
      <w:r>
        <w:rPr>
          <w:rStyle w:val="11"/>
          <w:rFonts w:ascii="Times New Roman" w:hAnsi="Times New Roman"/>
        </w:rPr>
        <w:t>31</w:t>
      </w:r>
      <w:r>
        <w:rPr>
          <w:rStyle w:val="11"/>
          <w:rFonts w:hint="eastAsia" w:ascii="Times New Roman" w:hAnsi="Times New Roman"/>
        </w:rPr>
        <w:t xml:space="preserve">. </w:t>
      </w:r>
      <w:r>
        <w:rPr>
          <w:rStyle w:val="11"/>
          <w:rFonts w:ascii="Times New Roman" w:hAnsi="Times New Roman"/>
        </w:rPr>
        <w:t>鼓励医药创新研发</w:t>
      </w:r>
      <w:bookmarkEnd w:id="73"/>
      <w:r>
        <w:rPr>
          <w:rStyle w:val="11"/>
          <w:rFonts w:ascii="Times New Roman" w:hAnsi="Times New Roman"/>
        </w:rPr>
        <w:t>。</w:t>
      </w:r>
      <w:r>
        <w:rPr>
          <w:szCs w:val="32"/>
        </w:rPr>
        <w:t>推动创新药物和高端医疗器械源头创新，实施医药科创“四个一百”工程，组织申报100个创新药、申报100个仿制药质量和疗效一致性评价、培育100个创新医疗器械进入创新审批通道、制修订100项药品医疗器械化妆品标准。持续深化审评审批制度改革，激发药品上市许可持有人、医疗器械注册人创新活力，依托国家药监局药品审评中心药品创新服务联系点、国家药监局医疗器械技术审评中心医疗器械创新服务站，对创新药品、创新医疗器械注册申报开展精准服务。提升《中国现代应用药学》期刊品牌，搭建药品科学监管与技术创新学术交流平台，助力医药科技成果转化。支持生物医药、医疗器械、精准医疗、医疗服务等前沿领域科研技术攻关与应用。加大仿制药质量和疗效一致性评价支持力度，持续推进化学药品仿制药口服固体制剂一致性评价，稳步推进化学药品注射剂一致性评价，加强生物仿制药质量评价研究。</w:t>
      </w:r>
    </w:p>
    <w:p>
      <w:pPr>
        <w:pStyle w:val="10"/>
        <w:spacing w:line="590" w:lineRule="exact"/>
        <w:ind w:firstLine="640" w:firstLineChars="200"/>
        <w:jc w:val="both"/>
        <w:rPr>
          <w:rFonts w:ascii="Times New Roman" w:hAnsi="Times New Roman" w:eastAsia="仿宋_GB2312" w:cs="Times New Roman"/>
          <w:sz w:val="32"/>
          <w:szCs w:val="32"/>
        </w:rPr>
      </w:pPr>
      <w:bookmarkStart w:id="74" w:name="_Toc73266776"/>
      <w:r>
        <w:rPr>
          <w:rStyle w:val="11"/>
          <w:rFonts w:ascii="Times New Roman" w:hAnsi="Times New Roman" w:cs="Times New Roman"/>
        </w:rPr>
        <w:t>32</w:t>
      </w:r>
      <w:r>
        <w:rPr>
          <w:rStyle w:val="11"/>
          <w:rFonts w:hint="eastAsia" w:ascii="Times New Roman" w:hAnsi="Times New Roman" w:cs="Times New Roman"/>
        </w:rPr>
        <w:t xml:space="preserve">. </w:t>
      </w:r>
      <w:r>
        <w:rPr>
          <w:rStyle w:val="11"/>
          <w:rFonts w:ascii="Times New Roman" w:hAnsi="Times New Roman" w:cs="Times New Roman"/>
        </w:rPr>
        <w:t>打造技术支撑高地</w:t>
      </w:r>
      <w:bookmarkEnd w:id="74"/>
      <w:r>
        <w:rPr>
          <w:rStyle w:val="11"/>
          <w:rFonts w:ascii="Times New Roman" w:hAnsi="Times New Roman" w:cs="Times New Roman"/>
        </w:rPr>
        <w:t>。</w:t>
      </w:r>
      <w:r>
        <w:rPr>
          <w:rFonts w:ascii="Times New Roman" w:hAnsi="Times New Roman" w:eastAsia="仿宋_GB2312" w:cs="Times New Roman"/>
          <w:sz w:val="32"/>
          <w:szCs w:val="32"/>
        </w:rPr>
        <w:t>抢抓生物安全纳入国家安全体系的新机遇，贯彻落实国家、省推进创新型基础设施建设的部署，建设“生物医药创新公共服务平台”“医疗器械检测评价与创新服务综合体”，搭建生物医药研发和中试基地、产业化基地和国内一流的医疗器械全生命周期创新服务平台，打造生物医药、医疗器械技术支撑高地。建设原料药安全研究中心，聚焦国际技术前沿，开展原料药（含辅料、包装材料）政策研究、产业分析、杂质检测、标准制定、技术创新、项目合作等，助力国内上下游产业链合作、质量标准提升、科技和产业创新，提高原料药产业竞争力。建设华东药用植物种质资源库，打造集药用植物资源保护、服务科学监管、推进守正创新、促进产业发展、推动文化传承和科普教育于一体的国内一流的综合性种质资源平台。建设浙江省化妆品安全与功效评价中心，率先在化妆品领域搭建自主高端品牌培育公共服务平台。</w:t>
      </w:r>
    </w:p>
    <w:p>
      <w:pPr>
        <w:pStyle w:val="10"/>
        <w:spacing w:line="590" w:lineRule="exact"/>
        <w:ind w:firstLine="640" w:firstLineChars="200"/>
        <w:jc w:val="both"/>
        <w:rPr>
          <w:rFonts w:ascii="Times New Roman" w:hAnsi="Times New Roman" w:eastAsia="仿宋_GB2312" w:cs="Times New Roman"/>
          <w:sz w:val="32"/>
          <w:szCs w:val="32"/>
        </w:rPr>
      </w:pPr>
      <w:bookmarkStart w:id="75" w:name="_Toc73266777"/>
      <w:r>
        <w:rPr>
          <w:rStyle w:val="11"/>
          <w:rFonts w:ascii="Times New Roman" w:hAnsi="Times New Roman" w:cs="Times New Roman"/>
        </w:rPr>
        <w:t>33</w:t>
      </w:r>
      <w:r>
        <w:rPr>
          <w:rStyle w:val="11"/>
          <w:rFonts w:hint="eastAsia" w:ascii="Times New Roman" w:hAnsi="Times New Roman" w:cs="Times New Roman"/>
        </w:rPr>
        <w:t xml:space="preserve">. </w:t>
      </w:r>
      <w:r>
        <w:rPr>
          <w:rStyle w:val="11"/>
          <w:rFonts w:ascii="Times New Roman" w:hAnsi="Times New Roman" w:cs="Times New Roman"/>
        </w:rPr>
        <w:t>促进中药传承创新</w:t>
      </w:r>
      <w:bookmarkEnd w:id="75"/>
      <w:r>
        <w:rPr>
          <w:rStyle w:val="11"/>
          <w:rFonts w:ascii="Times New Roman" w:hAnsi="Times New Roman" w:cs="Times New Roman"/>
        </w:rPr>
        <w:t>。</w:t>
      </w:r>
      <w:r>
        <w:rPr>
          <w:rFonts w:ascii="Times New Roman" w:hAnsi="Times New Roman" w:eastAsia="仿宋_GB2312" w:cs="Times New Roman"/>
          <w:sz w:val="32"/>
          <w:szCs w:val="32"/>
        </w:rPr>
        <w:t>实施中药振兴战略，开展中药材标准化种植和风险管控技术、中药配方颗粒标准、中药炮制规范、中药材标准研究，培育中药创新药。提升中药临床研究水平，鼓励开展中药经典名方及中药二次开发研究，研制具有竞争力的名方名药。推进浙产道地中药材品质提升工程，推动中药材及饮片加工“共享车间”提质扩面，促进</w:t>
      </w:r>
      <w:bookmarkStart w:id="76" w:name="_Hlk72491934"/>
      <w:r>
        <w:rPr>
          <w:rFonts w:ascii="Times New Roman" w:hAnsi="Times New Roman" w:eastAsia="仿宋_GB2312" w:cs="Times New Roman"/>
          <w:sz w:val="32"/>
          <w:szCs w:val="32"/>
        </w:rPr>
        <w:t>“新老浙八味”</w:t>
      </w:r>
      <w:bookmarkEnd w:id="76"/>
      <w:r>
        <w:rPr>
          <w:rFonts w:ascii="Times New Roman" w:hAnsi="Times New Roman" w:eastAsia="仿宋_GB2312" w:cs="Times New Roman"/>
          <w:sz w:val="32"/>
          <w:szCs w:val="32"/>
        </w:rPr>
        <w:t>等特色中药材传承创新发展。推动浙江地方特色中药材（植物原料）在化妆品中的开发应用。</w:t>
      </w:r>
    </w:p>
    <w:p>
      <w:pPr>
        <w:spacing w:line="590" w:lineRule="exact"/>
        <w:ind w:firstLine="640" w:firstLineChars="200"/>
        <w:rPr>
          <w:szCs w:val="32"/>
        </w:rPr>
      </w:pPr>
      <w:bookmarkStart w:id="77" w:name="_Toc73266778"/>
      <w:r>
        <w:rPr>
          <w:rStyle w:val="11"/>
          <w:rFonts w:ascii="Times New Roman" w:hAnsi="Times New Roman"/>
        </w:rPr>
        <w:t>3</w:t>
      </w:r>
      <w:bookmarkStart w:id="78" w:name="_Hlk72446618"/>
      <w:r>
        <w:rPr>
          <w:rStyle w:val="11"/>
          <w:rFonts w:ascii="Times New Roman" w:hAnsi="Times New Roman"/>
        </w:rPr>
        <w:t>4</w:t>
      </w:r>
      <w:bookmarkEnd w:id="78"/>
      <w:r>
        <w:rPr>
          <w:rStyle w:val="11"/>
          <w:rFonts w:hint="eastAsia" w:ascii="Times New Roman" w:hAnsi="Times New Roman"/>
        </w:rPr>
        <w:t xml:space="preserve">. </w:t>
      </w:r>
      <w:r>
        <w:rPr>
          <w:rStyle w:val="11"/>
          <w:rFonts w:ascii="Times New Roman" w:hAnsi="Times New Roman"/>
        </w:rPr>
        <w:t>全面融入长三角一体化发展</w:t>
      </w:r>
      <w:bookmarkEnd w:id="77"/>
      <w:r>
        <w:rPr>
          <w:rStyle w:val="11"/>
          <w:rFonts w:ascii="Times New Roman" w:hAnsi="Times New Roman"/>
        </w:rPr>
        <w:t>。</w:t>
      </w:r>
      <w:r>
        <w:rPr>
          <w:szCs w:val="32"/>
        </w:rPr>
        <w:t>贯彻落实党中央、国务院《长江三角洲区域一体化发展规划纲要》和国家发展改革委《长三角生态绿色一体化发展示范区总体方案》，以共同提高区域药品安全保障水平、促进产业高质量发展为目标，按照全域全方位的要求，探索建立区域药品监管领域“互认互信、联查联审、共建共享”长效合作机制，深化长三角区域药品科学监管与医药产业创新发展。</w:t>
      </w: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79" w:name="_Toc73266858"/>
            <w:r>
              <w:rPr>
                <w:rFonts w:eastAsia="黑体"/>
                <w:b w:val="0"/>
                <w:bCs w:val="0"/>
                <w:sz w:val="28"/>
                <w:szCs w:val="28"/>
              </w:rPr>
              <w:t xml:space="preserve">专栏13 </w:t>
            </w:r>
            <w:r>
              <w:rPr>
                <w:rFonts w:hint="eastAsia" w:eastAsia="黑体"/>
                <w:b w:val="0"/>
                <w:bCs w:val="0"/>
                <w:sz w:val="28"/>
                <w:szCs w:val="28"/>
              </w:rPr>
              <w:t xml:space="preserve"> </w:t>
            </w:r>
            <w:r>
              <w:rPr>
                <w:rFonts w:eastAsia="黑体"/>
                <w:b w:val="0"/>
                <w:bCs w:val="0"/>
                <w:sz w:val="28"/>
                <w:szCs w:val="28"/>
              </w:rPr>
              <w:t>药品全生命周期监管“一件事”改革</w:t>
            </w:r>
            <w:bookmarkEnd w:id="79"/>
          </w:p>
          <w:p>
            <w:pPr>
              <w:spacing w:line="360" w:lineRule="exact"/>
              <w:ind w:firstLine="480" w:firstLineChars="200"/>
              <w:rPr>
                <w:kern w:val="0"/>
                <w:sz w:val="24"/>
              </w:rPr>
            </w:pPr>
            <w:r>
              <w:rPr>
                <w:kern w:val="0"/>
                <w:sz w:val="24"/>
              </w:rPr>
              <w:t>统筹安全监管和创新发展，以“保安全、促发展、争一流”为导向，深化数字赋能、协同智治，依托“数字药监”综合集成平台，实现“一窗受理”“一网通办”，提高科学化、精细化、智能化管理水平。建设统筹配置各类资源、支撑多维联动、辅助科学决策的“数字药监”枢纽系统，支撑药品监管的态势感知、运行监测、领导决策和应急指挥，创新基于“枢纽系统-数字驾驶舱-应用场景”的全周期管理模式。</w:t>
            </w:r>
          </w:p>
          <w:p>
            <w:pPr>
              <w:spacing w:line="360" w:lineRule="exact"/>
              <w:ind w:firstLine="480" w:firstLineChars="200"/>
              <w:rPr>
                <w:kern w:val="0"/>
                <w:sz w:val="24"/>
              </w:rPr>
            </w:pPr>
            <w:r>
              <w:rPr>
                <w:kern w:val="0"/>
                <w:sz w:val="24"/>
              </w:rPr>
              <w:t>先行开展药品、医疗器械经营环节“一件事”改革，按照精简、协同、高效的原则，梳理集成药品、医疗器械零售企业准入条件、申请信息要素和材料清单，探索新的药械经营综合许可模式，逐步推广到药品、医疗器械、化妆品全生命周期。</w:t>
            </w:r>
          </w:p>
        </w:tc>
      </w:tr>
    </w:tbl>
    <w:p>
      <w:pPr>
        <w:spacing w:line="590" w:lineRule="exact"/>
        <w:ind w:firstLine="640" w:firstLineChars="200"/>
        <w:rPr>
          <w:szCs w:val="32"/>
        </w:rPr>
      </w:pPr>
    </w:p>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Layout w:type="fixed"/>
        </w:tblPrEx>
        <w:trPr>
          <w:trHeight w:val="2551" w:hRule="atLeast"/>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4"/>
                <w:szCs w:val="24"/>
              </w:rPr>
            </w:pPr>
            <w:bookmarkStart w:id="80" w:name="_Toc73266859"/>
            <w:r>
              <w:rPr>
                <w:rFonts w:eastAsia="黑体"/>
                <w:b w:val="0"/>
                <w:bCs w:val="0"/>
                <w:sz w:val="28"/>
                <w:szCs w:val="28"/>
              </w:rPr>
              <w:t>专栏14  “生物安全、生命健康”医药数字赋能工程</w:t>
            </w:r>
            <w:bookmarkEnd w:id="80"/>
          </w:p>
          <w:p>
            <w:pPr>
              <w:spacing w:line="360" w:lineRule="exact"/>
              <w:ind w:firstLine="480" w:firstLineChars="200"/>
              <w:rPr>
                <w:kern w:val="0"/>
                <w:sz w:val="24"/>
              </w:rPr>
            </w:pPr>
            <w:r>
              <w:rPr>
                <w:rFonts w:eastAsia="楷体_GB2312"/>
                <w:kern w:val="0"/>
                <w:sz w:val="24"/>
              </w:rPr>
              <w:t>1.</w:t>
            </w:r>
            <w:r>
              <w:rPr>
                <w:rFonts w:hint="eastAsia" w:eastAsia="楷体_GB2312"/>
                <w:kern w:val="0"/>
                <w:sz w:val="24"/>
              </w:rPr>
              <w:t xml:space="preserve"> </w:t>
            </w:r>
            <w:r>
              <w:rPr>
                <w:rFonts w:eastAsia="楷体_GB2312"/>
                <w:kern w:val="0"/>
                <w:sz w:val="24"/>
              </w:rPr>
              <w:t>药政之窗。</w:t>
            </w:r>
            <w:r>
              <w:rPr>
                <w:kern w:val="0"/>
                <w:sz w:val="24"/>
              </w:rPr>
              <w:t>推进经信、科技、卫生健康、医保、市场监管、药监等部门的数据共享，汇集药品、医疗器械、化妆品各类法律法规、扶持政策、技术标准、规范指南等，为企业提供线上政策解读、专家咨询服务。</w:t>
            </w:r>
          </w:p>
          <w:p>
            <w:pPr>
              <w:spacing w:line="360" w:lineRule="exact"/>
              <w:ind w:firstLine="480" w:firstLineChars="200"/>
              <w:rPr>
                <w:kern w:val="0"/>
                <w:sz w:val="24"/>
              </w:rPr>
            </w:pPr>
            <w:r>
              <w:rPr>
                <w:rFonts w:eastAsia="楷体_GB2312"/>
                <w:kern w:val="0"/>
                <w:sz w:val="24"/>
              </w:rPr>
              <w:t>2.</w:t>
            </w:r>
            <w:r>
              <w:rPr>
                <w:rFonts w:hint="eastAsia" w:eastAsia="楷体_GB2312"/>
                <w:kern w:val="0"/>
                <w:sz w:val="24"/>
              </w:rPr>
              <w:t xml:space="preserve"> </w:t>
            </w:r>
            <w:r>
              <w:rPr>
                <w:rFonts w:eastAsia="楷体_GB2312"/>
                <w:kern w:val="0"/>
                <w:sz w:val="24"/>
              </w:rPr>
              <w:t>网上柔性服务站。</w:t>
            </w:r>
            <w:r>
              <w:rPr>
                <w:kern w:val="0"/>
                <w:sz w:val="24"/>
              </w:rPr>
              <w:t>发挥市场监管体制优势，开发委托检验、技术审评、安全评价、科研合作、品牌建设、知识产权保护等模块，为企业技术研发、产品检验、标准制定、审评咨询、品牌建设等提供线上服务。</w:t>
            </w:r>
          </w:p>
          <w:p>
            <w:pPr>
              <w:spacing w:line="360" w:lineRule="exact"/>
              <w:ind w:firstLine="480" w:firstLineChars="200"/>
              <w:rPr>
                <w:kern w:val="0"/>
                <w:sz w:val="24"/>
              </w:rPr>
            </w:pPr>
            <w:r>
              <w:rPr>
                <w:rFonts w:eastAsia="楷体_GB2312"/>
                <w:kern w:val="0"/>
                <w:sz w:val="24"/>
              </w:rPr>
              <w:t>3.</w:t>
            </w:r>
            <w:r>
              <w:rPr>
                <w:rFonts w:hint="eastAsia" w:eastAsia="楷体_GB2312"/>
                <w:kern w:val="0"/>
                <w:sz w:val="24"/>
              </w:rPr>
              <w:t xml:space="preserve"> </w:t>
            </w:r>
            <w:r>
              <w:rPr>
                <w:rFonts w:eastAsia="楷体_GB2312"/>
                <w:kern w:val="0"/>
                <w:sz w:val="24"/>
              </w:rPr>
              <w:t>网上医药科技成果转化平台。</w:t>
            </w:r>
            <w:r>
              <w:rPr>
                <w:kern w:val="0"/>
                <w:sz w:val="24"/>
              </w:rPr>
              <w:t>依托药品上市许可持有人和医疗器械注册人制度，建设网上医药科技成果展示和转化交易平台，推动“产业链”“创新链”“价值链”有机融合，助力医药科技创新技术和产品产业化，打造不落幕的医药科技成果交易展。</w:t>
            </w:r>
          </w:p>
          <w:p>
            <w:pPr>
              <w:spacing w:line="360" w:lineRule="exact"/>
              <w:ind w:firstLine="480" w:firstLineChars="200"/>
              <w:rPr>
                <w:kern w:val="0"/>
                <w:sz w:val="24"/>
              </w:rPr>
            </w:pPr>
            <w:r>
              <w:rPr>
                <w:rFonts w:eastAsia="楷体_GB2312"/>
                <w:kern w:val="0"/>
                <w:sz w:val="24"/>
              </w:rPr>
              <w:t>4.</w:t>
            </w:r>
            <w:r>
              <w:rPr>
                <w:rFonts w:hint="eastAsia" w:eastAsia="楷体_GB2312"/>
                <w:kern w:val="0"/>
                <w:sz w:val="24"/>
              </w:rPr>
              <w:t xml:space="preserve"> </w:t>
            </w:r>
            <w:r>
              <w:rPr>
                <w:rFonts w:eastAsia="楷体_GB2312"/>
                <w:kern w:val="0"/>
                <w:sz w:val="24"/>
              </w:rPr>
              <w:t>浙药数据库。</w:t>
            </w:r>
            <w:r>
              <w:rPr>
                <w:kern w:val="0"/>
                <w:sz w:val="24"/>
              </w:rPr>
              <w:t>系统收集全省药品、医疗器械、化妆品研发、生产、经营企业的生产经营、创新研发、专利、品牌等基本数据，精准描绘我省医药产业基本现状和未来发展趋势，为产业高质量发展提供决策支撑。</w:t>
            </w:r>
          </w:p>
          <w:p>
            <w:pPr>
              <w:spacing w:line="360" w:lineRule="exact"/>
              <w:ind w:firstLine="480" w:firstLineChars="200"/>
              <w:rPr>
                <w:kern w:val="0"/>
                <w:sz w:val="24"/>
              </w:rPr>
            </w:pPr>
            <w:r>
              <w:rPr>
                <w:rFonts w:eastAsia="楷体_GB2312"/>
                <w:kern w:val="0"/>
                <w:sz w:val="24"/>
              </w:rPr>
              <w:t>5.</w:t>
            </w:r>
            <w:r>
              <w:rPr>
                <w:rFonts w:hint="eastAsia" w:eastAsia="楷体_GB2312"/>
                <w:kern w:val="0"/>
                <w:sz w:val="24"/>
              </w:rPr>
              <w:t xml:space="preserve"> </w:t>
            </w:r>
            <w:r>
              <w:rPr>
                <w:rFonts w:eastAsia="楷体_GB2312"/>
                <w:kern w:val="0"/>
                <w:sz w:val="24"/>
              </w:rPr>
              <w:t>“浙产好药”“浙造器械”“浙江美妆”展示台。</w:t>
            </w:r>
            <w:r>
              <w:rPr>
                <w:kern w:val="0"/>
                <w:sz w:val="24"/>
              </w:rPr>
              <w:t>集中展示我省药品、医疗器械、化妆品领域优秀企业、优秀企业家、优秀科技成果、优秀产品、优秀品牌和优秀案例，营造创业创新良好氛围。</w:t>
            </w:r>
          </w:p>
        </w:tc>
      </w:tr>
      <w:bookmarkEnd w:id="71"/>
    </w:tbl>
    <w:p>
      <w:pPr>
        <w:pStyle w:val="10"/>
        <w:spacing w:line="590" w:lineRule="exact"/>
        <w:ind w:firstLine="640" w:firstLineChars="200"/>
        <w:jc w:val="both"/>
        <w:rPr>
          <w:rFonts w:ascii="Times New Roman" w:hAnsi="Times New Roman" w:eastAsia="仿宋_GB2312" w:cs="Times New Roman"/>
          <w:sz w:val="32"/>
          <w:szCs w:val="32"/>
        </w:rPr>
      </w:pPr>
      <w:bookmarkStart w:id="81" w:name="_Hlk53968716"/>
    </w:p>
    <w:bookmarkEnd w:id="81"/>
    <w:tbl>
      <w:tblPr>
        <w:tblStyle w:val="9"/>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center"/>
          </w:tcPr>
          <w:p>
            <w:pPr>
              <w:pStyle w:val="4"/>
              <w:keepNext w:val="0"/>
              <w:keepLines w:val="0"/>
              <w:spacing w:before="240" w:beforeLines="100" w:after="240" w:afterLines="100" w:line="360" w:lineRule="exact"/>
              <w:jc w:val="center"/>
              <w:rPr>
                <w:rFonts w:eastAsia="黑体"/>
                <w:b w:val="0"/>
                <w:bCs w:val="0"/>
                <w:sz w:val="28"/>
                <w:szCs w:val="28"/>
              </w:rPr>
            </w:pPr>
            <w:bookmarkStart w:id="82" w:name="_Toc73266860"/>
            <w:r>
              <w:rPr>
                <w:rFonts w:eastAsia="黑体"/>
                <w:b w:val="0"/>
                <w:bCs w:val="0"/>
                <w:sz w:val="28"/>
                <w:szCs w:val="28"/>
              </w:rPr>
              <w:t>专栏15  “浙产好药”“浙造器械”“浙江美妆”品牌培育工程</w:t>
            </w:r>
            <w:bookmarkEnd w:id="82"/>
          </w:p>
          <w:p>
            <w:pPr>
              <w:spacing w:line="360" w:lineRule="exact"/>
              <w:ind w:firstLine="480" w:firstLineChars="200"/>
              <w:rPr>
                <w:rFonts w:eastAsia="楷体_GB2312"/>
                <w:kern w:val="0"/>
                <w:sz w:val="24"/>
              </w:rPr>
            </w:pPr>
            <w:r>
              <w:rPr>
                <w:rFonts w:eastAsia="楷体_GB2312"/>
                <w:kern w:val="0"/>
                <w:sz w:val="24"/>
              </w:rPr>
              <w:t>1.</w:t>
            </w:r>
            <w:r>
              <w:rPr>
                <w:rFonts w:hint="eastAsia" w:eastAsia="楷体_GB2312"/>
                <w:kern w:val="0"/>
                <w:sz w:val="24"/>
              </w:rPr>
              <w:t xml:space="preserve"> </w:t>
            </w:r>
            <w:r>
              <w:rPr>
                <w:rFonts w:eastAsia="楷体_GB2312"/>
                <w:kern w:val="0"/>
                <w:sz w:val="24"/>
              </w:rPr>
              <w:t>“浙产好药”。</w:t>
            </w:r>
          </w:p>
          <w:p>
            <w:pPr>
              <w:spacing w:line="360" w:lineRule="exact"/>
              <w:ind w:firstLine="480" w:firstLineChars="200"/>
              <w:rPr>
                <w:kern w:val="0"/>
                <w:sz w:val="24"/>
              </w:rPr>
            </w:pPr>
            <w:r>
              <w:rPr>
                <w:kern w:val="0"/>
                <w:sz w:val="24"/>
              </w:rPr>
              <w:t>生物制品：提升免疫治疗、基因治疗、细胞治疗等新兴领域生物制品创新服务能力，支持生物技术药物、新型疫苗、紧缺生物制品研发和成果产业化，助力构建生物医药标志性产业链。</w:t>
            </w:r>
          </w:p>
          <w:p>
            <w:pPr>
              <w:spacing w:line="360" w:lineRule="exact"/>
              <w:ind w:firstLine="480" w:firstLineChars="200"/>
              <w:rPr>
                <w:kern w:val="0"/>
                <w:sz w:val="24"/>
              </w:rPr>
            </w:pPr>
            <w:r>
              <w:rPr>
                <w:kern w:val="0"/>
                <w:sz w:val="24"/>
              </w:rPr>
              <w:t>化学药：支持基于新结构、新靶点、新机制的创新药物研发，推动突破制药关键技术，提升发展原料药及中间体、高端和新型药用辅料，鼓励制剂与高效原料药一体化发展，推动化学药产业基础能力和产业链核心竞争力明显提升。</w:t>
            </w:r>
          </w:p>
          <w:p>
            <w:pPr>
              <w:spacing w:line="360" w:lineRule="exact"/>
              <w:ind w:firstLine="480" w:firstLineChars="200"/>
              <w:rPr>
                <w:kern w:val="0"/>
                <w:sz w:val="24"/>
              </w:rPr>
            </w:pPr>
            <w:r>
              <w:rPr>
                <w:kern w:val="0"/>
                <w:sz w:val="24"/>
              </w:rPr>
              <w:t>中药：充分利用浙江丰富的药用植物资源，推动地方特色中药材、中药饮片、经典名方的开发以及名优大品种二次开发和应用，培育“新老浙八味”等浙产中药材品种；完善医疗机构中药制剂扶持政策，探索“真实世界”研究数据用于医疗机构中药制剂和中药注册申请，培育中药创新药。</w:t>
            </w:r>
          </w:p>
          <w:p>
            <w:pPr>
              <w:spacing w:line="360" w:lineRule="exact"/>
              <w:ind w:firstLine="480" w:firstLineChars="200"/>
              <w:rPr>
                <w:kern w:val="0"/>
                <w:sz w:val="24"/>
              </w:rPr>
            </w:pPr>
            <w:r>
              <w:rPr>
                <w:rFonts w:eastAsia="楷体_GB2312"/>
                <w:kern w:val="0"/>
                <w:sz w:val="24"/>
              </w:rPr>
              <w:t>2.</w:t>
            </w:r>
            <w:r>
              <w:rPr>
                <w:rFonts w:hint="eastAsia" w:eastAsia="楷体_GB2312"/>
                <w:kern w:val="0"/>
                <w:sz w:val="24"/>
              </w:rPr>
              <w:t xml:space="preserve"> </w:t>
            </w:r>
            <w:r>
              <w:rPr>
                <w:rFonts w:eastAsia="楷体_GB2312"/>
                <w:kern w:val="0"/>
                <w:sz w:val="24"/>
              </w:rPr>
              <w:t>“浙造器械”。</w:t>
            </w:r>
            <w:r>
              <w:rPr>
                <w:kern w:val="0"/>
                <w:sz w:val="24"/>
              </w:rPr>
              <w:t>围绕诊断、治疗、监护与生命支持、保健康复等医疗全链条需求，鼓励高端医疗器械创新，重点支持植（介）入产品和高值耗材、智能诊断、智能治疗装备等领域产品研发，提升医疗器械产业链，打造“五大疾病”防治器械制造高地和全国重要的医疗器械产业集聚区。</w:t>
            </w:r>
          </w:p>
          <w:p>
            <w:pPr>
              <w:spacing w:line="360" w:lineRule="exact"/>
              <w:ind w:firstLine="480" w:firstLineChars="200"/>
              <w:rPr>
                <w:kern w:val="0"/>
                <w:sz w:val="24"/>
              </w:rPr>
            </w:pPr>
            <w:r>
              <w:rPr>
                <w:rFonts w:eastAsia="楷体_GB2312"/>
                <w:kern w:val="0"/>
                <w:sz w:val="24"/>
              </w:rPr>
              <w:t>3.</w:t>
            </w:r>
            <w:r>
              <w:rPr>
                <w:rFonts w:hint="eastAsia" w:eastAsia="楷体_GB2312"/>
                <w:kern w:val="0"/>
                <w:sz w:val="24"/>
              </w:rPr>
              <w:t xml:space="preserve"> </w:t>
            </w:r>
            <w:r>
              <w:rPr>
                <w:rFonts w:eastAsia="楷体_GB2312"/>
                <w:kern w:val="0"/>
                <w:sz w:val="24"/>
              </w:rPr>
              <w:t>“浙江美妆”。</w:t>
            </w:r>
            <w:r>
              <w:rPr>
                <w:kern w:val="0"/>
                <w:sz w:val="24"/>
              </w:rPr>
              <w:t>深入实施《浙江省化妆品产业高质量发展实施方案》（2020-2025年），围绕“一个中心+两个基地+三个平台”产业布局，集聚关联产业和高端要素，加快化妆品原料等产业链关键环节的补链强链，推动化妆品品牌建设，提升产业优势，打造千亿级浙江美妆产业，建设中国化妆品产业高质量发展示范区和具有较强国际竞争力的化妆品产业高地。</w:t>
            </w:r>
          </w:p>
        </w:tc>
      </w:tr>
    </w:tbl>
    <w:p>
      <w:pPr>
        <w:pStyle w:val="2"/>
        <w:keepNext w:val="0"/>
        <w:keepLines w:val="0"/>
        <w:spacing w:before="0" w:after="0" w:line="580" w:lineRule="exact"/>
        <w:ind w:firstLine="640" w:firstLineChars="200"/>
        <w:rPr>
          <w:rFonts w:ascii="黑体" w:hAnsi="黑体" w:eastAsia="黑体"/>
          <w:b w:val="0"/>
          <w:sz w:val="32"/>
          <w:szCs w:val="32"/>
        </w:rPr>
      </w:pPr>
      <w:bookmarkStart w:id="83" w:name="_Toc474821758"/>
      <w:bookmarkStart w:id="84" w:name="_Toc73266779"/>
      <w:r>
        <w:rPr>
          <w:rFonts w:ascii="黑体" w:hAnsi="黑体" w:eastAsia="黑体"/>
          <w:b w:val="0"/>
          <w:sz w:val="32"/>
          <w:szCs w:val="32"/>
        </w:rPr>
        <w:t>十一、强化规划实施保障</w:t>
      </w:r>
      <w:bookmarkEnd w:id="83"/>
      <w:bookmarkEnd w:id="84"/>
    </w:p>
    <w:p>
      <w:pPr>
        <w:spacing w:line="580" w:lineRule="exact"/>
        <w:ind w:firstLine="640" w:firstLineChars="200"/>
        <w:rPr>
          <w:szCs w:val="32"/>
        </w:rPr>
      </w:pPr>
      <w:bookmarkStart w:id="85" w:name="_Toc73266780"/>
      <w:r>
        <w:rPr>
          <w:rStyle w:val="11"/>
          <w:rFonts w:ascii="Times New Roman" w:hAnsi="Times New Roman"/>
        </w:rPr>
        <w:t>（一）加强组织领导</w:t>
      </w:r>
      <w:bookmarkEnd w:id="85"/>
      <w:r>
        <w:rPr>
          <w:rStyle w:val="11"/>
          <w:rFonts w:ascii="Times New Roman" w:hAnsi="Times New Roman"/>
        </w:rPr>
        <w:t>。</w:t>
      </w:r>
      <w:r>
        <w:rPr>
          <w:szCs w:val="32"/>
        </w:rPr>
        <w:t>坚持党的全面领导，发挥各级党组织领导核心作用，把党的领导贯穿规划实施全过程，为实现规划目标任务提供坚强保障。各市、县（市、区）政府要根据本规划确定的发展目标和主要任务，将药品安全工作纳入重要议事日程和本地区国民经济和社会发展规划。</w:t>
      </w:r>
    </w:p>
    <w:p>
      <w:pPr>
        <w:spacing w:line="580" w:lineRule="exact"/>
        <w:ind w:firstLine="640" w:firstLineChars="200"/>
        <w:rPr>
          <w:szCs w:val="32"/>
        </w:rPr>
      </w:pPr>
      <w:bookmarkStart w:id="86" w:name="_Toc73266781"/>
      <w:r>
        <w:rPr>
          <w:rStyle w:val="11"/>
          <w:rFonts w:ascii="Times New Roman" w:hAnsi="Times New Roman"/>
        </w:rPr>
        <w:t>（二）加强政策协同</w:t>
      </w:r>
      <w:bookmarkEnd w:id="86"/>
      <w:r>
        <w:rPr>
          <w:rStyle w:val="11"/>
          <w:rFonts w:ascii="Times New Roman" w:hAnsi="Times New Roman"/>
        </w:rPr>
        <w:t>。</w:t>
      </w:r>
      <w:r>
        <w:rPr>
          <w:szCs w:val="32"/>
        </w:rPr>
        <w:t>健全药品监管体制机制，形成多部门协同、省市县联动工作机制，加强药品监管能力建设，提升从实验室到医院的全链条质量安全保障水平。积极构建药品安全治理多部门协同政策工具箱，强化“三医联动”“六医统筹”、安全监管与产业发展、科技创新、人才支撑、信用监管、科普宣传、违法打击等跨部门政策协同。各有关部门要按照职责细化目标，制订具体实施方案，创造性地落实好规划任务。</w:t>
      </w:r>
    </w:p>
    <w:p>
      <w:pPr>
        <w:spacing w:line="580" w:lineRule="exact"/>
        <w:ind w:firstLine="640" w:firstLineChars="200"/>
        <w:rPr>
          <w:szCs w:val="32"/>
        </w:rPr>
      </w:pPr>
      <w:bookmarkStart w:id="87" w:name="_Toc73266782"/>
      <w:r>
        <w:rPr>
          <w:rStyle w:val="11"/>
          <w:rFonts w:ascii="Times New Roman" w:hAnsi="Times New Roman"/>
        </w:rPr>
        <w:t>（三）加强要素保障</w:t>
      </w:r>
      <w:bookmarkEnd w:id="87"/>
      <w:r>
        <w:rPr>
          <w:rStyle w:val="11"/>
          <w:rFonts w:ascii="Times New Roman" w:hAnsi="Times New Roman"/>
        </w:rPr>
        <w:t>。</w:t>
      </w:r>
      <w:r>
        <w:rPr>
          <w:szCs w:val="32"/>
        </w:rPr>
        <w:t>建立健全“项目跟着规划走、要素跟着项目走”机制，全力保障本规划提出的重大改革、重大政策、重大平台、重大项目所需的要素资源。加强财政预算与规划实施的衔接协调，优化药品监管经费保障机制，将药品审评、检查、检验、监测评价、标准管理等技术支撑服务纳入政府购买服务范围，严格资金绩效管理和风险防范，强化各级财政对规划实施的保障作用。</w:t>
      </w:r>
    </w:p>
    <w:p>
      <w:pPr>
        <w:spacing w:line="590" w:lineRule="exact"/>
        <w:ind w:firstLine="640" w:firstLineChars="200"/>
        <w:rPr>
          <w:szCs w:val="32"/>
        </w:rPr>
      </w:pPr>
      <w:bookmarkStart w:id="88" w:name="_Toc73266783"/>
      <w:r>
        <w:rPr>
          <w:rStyle w:val="11"/>
          <w:rFonts w:ascii="Times New Roman" w:hAnsi="Times New Roman"/>
        </w:rPr>
        <w:t>（四）加强跟踪评估</w:t>
      </w:r>
      <w:bookmarkEnd w:id="88"/>
      <w:r>
        <w:rPr>
          <w:rStyle w:val="11"/>
          <w:rFonts w:ascii="Times New Roman" w:hAnsi="Times New Roman"/>
        </w:rPr>
        <w:t>。</w:t>
      </w:r>
      <w:r>
        <w:rPr>
          <w:szCs w:val="32"/>
        </w:rPr>
        <w:t>建立规划实施年度监测分析和跟踪评估机制，对规划确定的重点任务落实情况进行跟踪分析，加强督促检查，及时发现问题，研究制订相关措施。将规划实施情况纳入药品安全责任考核内容，建立科学有效的药品安全工作评价体系，及时开展规划实施年度监测分析、中期评估和总结评估等，把规划实施工作落到实处。</w:t>
      </w:r>
    </w:p>
    <w:p>
      <w:pPr>
        <w:spacing w:line="590" w:lineRule="exact"/>
        <w:ind w:firstLine="640" w:firstLineChars="200"/>
        <w:rPr>
          <w:szCs w:val="32"/>
        </w:rPr>
      </w:pPr>
    </w:p>
    <w:p>
      <w:pPr>
        <w:pStyle w:val="2"/>
        <w:keepNext w:val="0"/>
        <w:keepLines w:val="0"/>
        <w:spacing w:before="0" w:after="0" w:line="590" w:lineRule="exact"/>
        <w:ind w:firstLine="640" w:firstLineChars="200"/>
        <w:rPr>
          <w:rFonts w:hint="eastAsia" w:ascii="Times New Roman" w:hAnsi="Times New Roman" w:eastAsia="仿宋_GB2312"/>
          <w:b w:val="0"/>
          <w:sz w:val="32"/>
          <w:szCs w:val="32"/>
        </w:rPr>
      </w:pPr>
      <w:bookmarkStart w:id="89" w:name="_Toc73266784"/>
      <w:r>
        <w:rPr>
          <w:rFonts w:ascii="Times New Roman" w:hAnsi="Times New Roman" w:eastAsia="仿宋_GB2312"/>
          <w:b w:val="0"/>
          <w:sz w:val="32"/>
          <w:szCs w:val="32"/>
        </w:rPr>
        <w:t>附件：1</w:t>
      </w:r>
      <w:r>
        <w:rPr>
          <w:rFonts w:hint="eastAsia" w:ascii="Times New Roman" w:hAnsi="Times New Roman" w:eastAsia="仿宋_GB2312"/>
          <w:b w:val="0"/>
          <w:sz w:val="32"/>
          <w:szCs w:val="32"/>
        </w:rPr>
        <w:t xml:space="preserve">. </w:t>
      </w:r>
      <w:r>
        <w:rPr>
          <w:rFonts w:ascii="Times New Roman" w:hAnsi="Times New Roman" w:eastAsia="仿宋_GB2312"/>
          <w:b w:val="0"/>
          <w:sz w:val="32"/>
          <w:szCs w:val="32"/>
        </w:rPr>
        <w:t>“十四五”时期药品安全领域重大改革、重大项目、</w:t>
      </w:r>
    </w:p>
    <w:p>
      <w:pPr>
        <w:pStyle w:val="2"/>
        <w:keepNext w:val="0"/>
        <w:keepLines w:val="0"/>
        <w:spacing w:before="0" w:after="0" w:line="590" w:lineRule="exact"/>
        <w:ind w:firstLine="640" w:firstLineChars="200"/>
        <w:rPr>
          <w:rFonts w:ascii="Times New Roman" w:hAnsi="Times New Roman" w:eastAsia="仿宋_GB2312"/>
          <w:b w:val="0"/>
          <w:sz w:val="32"/>
          <w:szCs w:val="32"/>
        </w:rPr>
      </w:pPr>
      <w:r>
        <w:rPr>
          <w:rFonts w:hint="eastAsia" w:ascii="Times New Roman" w:hAnsi="Times New Roman" w:eastAsia="仿宋_GB2312"/>
          <w:b w:val="0"/>
          <w:sz w:val="32"/>
          <w:szCs w:val="32"/>
        </w:rPr>
        <w:t xml:space="preserve">        </w:t>
      </w:r>
      <w:r>
        <w:rPr>
          <w:rFonts w:ascii="Times New Roman" w:hAnsi="Times New Roman" w:eastAsia="仿宋_GB2312"/>
          <w:b w:val="0"/>
          <w:sz w:val="32"/>
          <w:szCs w:val="32"/>
        </w:rPr>
        <w:t>重大平台、重大政策</w:t>
      </w:r>
      <w:bookmarkEnd w:id="89"/>
    </w:p>
    <w:p>
      <w:pPr>
        <w:spacing w:line="590" w:lineRule="exact"/>
        <w:ind w:firstLine="640" w:firstLineChars="200"/>
        <w:rPr>
          <w:szCs w:val="32"/>
        </w:rPr>
      </w:pPr>
      <w:r>
        <w:rPr>
          <w:rFonts w:hint="eastAsia"/>
          <w:szCs w:val="32"/>
        </w:rPr>
        <w:t xml:space="preserve">      </w:t>
      </w:r>
      <w:r>
        <w:rPr>
          <w:szCs w:val="32"/>
        </w:rPr>
        <w:t>2</w:t>
      </w:r>
      <w:r>
        <w:rPr>
          <w:rFonts w:hint="eastAsia"/>
          <w:szCs w:val="32"/>
        </w:rPr>
        <w:t xml:space="preserve">. </w:t>
      </w:r>
      <w:r>
        <w:rPr>
          <w:szCs w:val="32"/>
        </w:rPr>
        <w:t>“十四五”时期药品安全主要指标统计方法</w:t>
      </w:r>
    </w:p>
    <w:p>
      <w:pPr>
        <w:spacing w:line="590" w:lineRule="exact"/>
        <w:ind w:firstLine="640" w:firstLineChars="200"/>
        <w:rPr>
          <w:szCs w:val="32"/>
        </w:rPr>
      </w:pPr>
      <w:r>
        <w:rPr>
          <w:rFonts w:hint="eastAsia"/>
          <w:szCs w:val="32"/>
        </w:rPr>
        <w:t xml:space="preserve">      </w:t>
      </w:r>
      <w:r>
        <w:rPr>
          <w:szCs w:val="32"/>
        </w:rPr>
        <w:t>3</w:t>
      </w:r>
      <w:r>
        <w:rPr>
          <w:rFonts w:hint="eastAsia"/>
          <w:szCs w:val="32"/>
        </w:rPr>
        <w:t xml:space="preserve">. </w:t>
      </w:r>
      <w:r>
        <w:rPr>
          <w:szCs w:val="32"/>
        </w:rPr>
        <w:t>名词解释</w:t>
      </w:r>
    </w:p>
    <w:p>
      <w:pPr>
        <w:spacing w:line="590" w:lineRule="exact"/>
        <w:ind w:firstLine="640" w:firstLineChars="200"/>
        <w:rPr>
          <w:szCs w:val="32"/>
        </w:rPr>
      </w:pPr>
    </w:p>
    <w:p>
      <w:pPr>
        <w:overflowPunct w:val="0"/>
        <w:spacing w:line="590" w:lineRule="exact"/>
        <w:ind w:firstLine="640" w:firstLineChars="200"/>
        <w:rPr>
          <w:rFonts w:eastAsia="方正小标宋简体"/>
          <w:szCs w:val="32"/>
        </w:rPr>
        <w:sectPr>
          <w:headerReference r:id="rId3" w:type="default"/>
          <w:footerReference r:id="rId4" w:type="default"/>
          <w:footerReference r:id="rId5" w:type="even"/>
          <w:footnotePr>
            <w:numFmt w:val="decimalEnclosedCircleChinese"/>
            <w:numRestart w:val="eachPage"/>
          </w:footnotePr>
          <w:pgSz w:w="11906" w:h="16838"/>
          <w:pgMar w:top="1871" w:right="1531" w:bottom="1701" w:left="1531" w:header="851" w:footer="1531" w:gutter="0"/>
          <w:cols w:space="720" w:num="1"/>
          <w:docGrid w:linePitch="312" w:charSpace="0"/>
        </w:sectPr>
      </w:pPr>
    </w:p>
    <w:p>
      <w:pPr>
        <w:spacing w:line="590" w:lineRule="exact"/>
        <w:rPr>
          <w:rFonts w:hint="eastAsia" w:eastAsia="黑体"/>
          <w:szCs w:val="32"/>
        </w:rPr>
      </w:pPr>
      <w:r>
        <w:rPr>
          <w:rFonts w:eastAsia="黑体"/>
          <w:szCs w:val="32"/>
        </w:rPr>
        <w:t>附件1</w:t>
      </w:r>
      <w:bookmarkStart w:id="90" w:name="_Toc73266785"/>
    </w:p>
    <w:p>
      <w:pPr>
        <w:spacing w:line="400" w:lineRule="exact"/>
        <w:rPr>
          <w:rFonts w:hint="eastAsia" w:eastAsia="黑体"/>
          <w:szCs w:val="32"/>
        </w:rPr>
      </w:pPr>
    </w:p>
    <w:p>
      <w:pPr>
        <w:spacing w:line="590" w:lineRule="exact"/>
        <w:jc w:val="center"/>
        <w:rPr>
          <w:rFonts w:hint="eastAsia" w:eastAsia="方正小标宋简体"/>
          <w:bCs/>
          <w:sz w:val="44"/>
          <w:szCs w:val="44"/>
        </w:rPr>
      </w:pPr>
      <w:r>
        <w:rPr>
          <w:rFonts w:eastAsia="方正小标宋简体"/>
          <w:bCs/>
          <w:sz w:val="44"/>
          <w:szCs w:val="44"/>
        </w:rPr>
        <w:t>“十四五”时期药品安全领域</w:t>
      </w:r>
    </w:p>
    <w:p>
      <w:pPr>
        <w:spacing w:before="120" w:beforeLines="50" w:line="590" w:lineRule="exact"/>
        <w:jc w:val="center"/>
        <w:rPr>
          <w:rFonts w:eastAsia="黑体"/>
          <w:sz w:val="44"/>
          <w:szCs w:val="44"/>
        </w:rPr>
      </w:pPr>
      <w:r>
        <w:rPr>
          <w:rFonts w:eastAsia="方正小标宋简体"/>
          <w:bCs/>
          <w:sz w:val="44"/>
          <w:szCs w:val="44"/>
        </w:rPr>
        <w:t>重大改革、重大项目、重大平台、重大政策</w:t>
      </w:r>
      <w:bookmarkEnd w:id="90"/>
    </w:p>
    <w:p>
      <w:pPr>
        <w:spacing w:line="400" w:lineRule="exact"/>
        <w:ind w:firstLine="640" w:firstLineChars="200"/>
        <w:rPr>
          <w:rFonts w:eastAsia="方正小标宋简体"/>
          <w:szCs w:val="32"/>
        </w:rPr>
      </w:pPr>
    </w:p>
    <w:tbl>
      <w:tblPr>
        <w:tblStyle w:val="9"/>
        <w:tblW w:w="130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63"/>
        <w:gridCol w:w="763"/>
        <w:gridCol w:w="2921"/>
        <w:gridCol w:w="85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tblHeader/>
          <w:jc w:val="center"/>
        </w:trPr>
        <w:tc>
          <w:tcPr>
            <w:tcW w:w="763" w:type="dxa"/>
            <w:vAlign w:val="center"/>
          </w:tcPr>
          <w:p>
            <w:pPr>
              <w:jc w:val="center"/>
              <w:rPr>
                <w:rFonts w:eastAsia="黑体"/>
                <w:sz w:val="24"/>
              </w:rPr>
            </w:pPr>
            <w:r>
              <w:rPr>
                <w:rFonts w:eastAsia="黑体"/>
                <w:sz w:val="24"/>
              </w:rPr>
              <w:t>类别</w:t>
            </w:r>
          </w:p>
        </w:tc>
        <w:tc>
          <w:tcPr>
            <w:tcW w:w="763" w:type="dxa"/>
            <w:vAlign w:val="center"/>
          </w:tcPr>
          <w:p>
            <w:pPr>
              <w:jc w:val="center"/>
              <w:rPr>
                <w:rFonts w:eastAsia="黑体"/>
                <w:sz w:val="24"/>
              </w:rPr>
            </w:pPr>
            <w:r>
              <w:rPr>
                <w:rFonts w:eastAsia="黑体"/>
                <w:sz w:val="24"/>
              </w:rPr>
              <w:t>序号</w:t>
            </w:r>
          </w:p>
        </w:tc>
        <w:tc>
          <w:tcPr>
            <w:tcW w:w="2921" w:type="dxa"/>
            <w:vAlign w:val="center"/>
          </w:tcPr>
          <w:p>
            <w:pPr>
              <w:jc w:val="center"/>
              <w:rPr>
                <w:rFonts w:eastAsia="黑体"/>
                <w:sz w:val="24"/>
              </w:rPr>
            </w:pPr>
            <w:r>
              <w:rPr>
                <w:rFonts w:eastAsia="黑体"/>
                <w:sz w:val="24"/>
              </w:rPr>
              <w:t>名  称</w:t>
            </w:r>
          </w:p>
        </w:tc>
        <w:tc>
          <w:tcPr>
            <w:tcW w:w="8594" w:type="dxa"/>
            <w:vAlign w:val="center"/>
          </w:tcPr>
          <w:p>
            <w:pPr>
              <w:jc w:val="center"/>
              <w:rPr>
                <w:rFonts w:eastAsia="黑体"/>
                <w:sz w:val="24"/>
              </w:rPr>
            </w:pPr>
            <w:r>
              <w:rPr>
                <w:rFonts w:eastAsia="黑体"/>
                <w:sz w:val="24"/>
              </w:rPr>
              <w:t xml:space="preserve">内 </w:t>
            </w:r>
            <w:r>
              <w:rPr>
                <w:rFonts w:hint="eastAsia" w:eastAsia="黑体"/>
                <w:sz w:val="24"/>
              </w:rPr>
              <w:t xml:space="preserve">  </w:t>
            </w:r>
            <w:r>
              <w:rPr>
                <w:rFonts w:eastAsia="黑体"/>
                <w:sz w:val="24"/>
              </w:rPr>
              <w:t xml:space="preserve"> 容</w:t>
            </w:r>
          </w:p>
        </w:tc>
      </w:tr>
      <w:tr>
        <w:tblPrEx>
          <w:tblLayout w:type="fixed"/>
        </w:tblPrEx>
        <w:trPr>
          <w:trHeight w:val="482" w:hRule="atLeast"/>
          <w:jc w:val="center"/>
        </w:trPr>
        <w:tc>
          <w:tcPr>
            <w:tcW w:w="763" w:type="dxa"/>
            <w:vMerge w:val="restart"/>
            <w:vAlign w:val="center"/>
          </w:tcPr>
          <w:p>
            <w:pPr>
              <w:jc w:val="center"/>
              <w:rPr>
                <w:rFonts w:eastAsia="黑体"/>
                <w:sz w:val="24"/>
              </w:rPr>
            </w:pPr>
            <w:r>
              <w:rPr>
                <w:rFonts w:eastAsia="黑体"/>
                <w:sz w:val="24"/>
              </w:rPr>
              <w:t>重</w:t>
            </w:r>
          </w:p>
          <w:p>
            <w:pPr>
              <w:jc w:val="center"/>
              <w:rPr>
                <w:rFonts w:eastAsia="黑体"/>
                <w:sz w:val="24"/>
              </w:rPr>
            </w:pPr>
            <w:r>
              <w:rPr>
                <w:rFonts w:eastAsia="黑体"/>
                <w:sz w:val="24"/>
              </w:rPr>
              <w:t>大</w:t>
            </w:r>
          </w:p>
          <w:p>
            <w:pPr>
              <w:jc w:val="center"/>
              <w:rPr>
                <w:rFonts w:eastAsia="黑体"/>
                <w:sz w:val="24"/>
              </w:rPr>
            </w:pPr>
            <w:r>
              <w:rPr>
                <w:rFonts w:eastAsia="黑体"/>
                <w:sz w:val="24"/>
              </w:rPr>
              <w:t>改</w:t>
            </w:r>
          </w:p>
          <w:p>
            <w:pPr>
              <w:jc w:val="center"/>
              <w:rPr>
                <w:rFonts w:eastAsia="黑体"/>
                <w:sz w:val="24"/>
              </w:rPr>
            </w:pPr>
            <w:r>
              <w:rPr>
                <w:rFonts w:eastAsia="黑体"/>
                <w:sz w:val="24"/>
              </w:rPr>
              <w:t>革</w:t>
            </w:r>
          </w:p>
        </w:tc>
        <w:tc>
          <w:tcPr>
            <w:tcW w:w="763" w:type="dxa"/>
            <w:vAlign w:val="center"/>
          </w:tcPr>
          <w:p>
            <w:pPr>
              <w:ind w:right="-58" w:rightChars="-18"/>
              <w:jc w:val="center"/>
              <w:rPr>
                <w:sz w:val="24"/>
              </w:rPr>
            </w:pPr>
            <w:r>
              <w:rPr>
                <w:sz w:val="24"/>
              </w:rPr>
              <w:t>1</w:t>
            </w:r>
          </w:p>
        </w:tc>
        <w:tc>
          <w:tcPr>
            <w:tcW w:w="2921" w:type="dxa"/>
            <w:vAlign w:val="center"/>
          </w:tcPr>
          <w:p>
            <w:pPr>
              <w:rPr>
                <w:sz w:val="24"/>
              </w:rPr>
            </w:pPr>
            <w:r>
              <w:rPr>
                <w:sz w:val="24"/>
              </w:rPr>
              <w:t>省域药品安全治理“清单式”改革</w:t>
            </w:r>
          </w:p>
        </w:tc>
        <w:tc>
          <w:tcPr>
            <w:tcW w:w="8594" w:type="dxa"/>
            <w:vAlign w:val="center"/>
          </w:tcPr>
          <w:p>
            <w:pPr>
              <w:rPr>
                <w:sz w:val="24"/>
              </w:rPr>
            </w:pPr>
            <w:r>
              <w:rPr>
                <w:sz w:val="24"/>
              </w:rPr>
              <w:t>全面梳理完善党委、政府、监管部门、相关部门、生产经营企业的药品安全责任清单，完善药品安全责任考评制度，开展区域药品安全状况评价，探索建立区域药品安全指数发布机制，构建药品安全责任落实体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63" w:type="dxa"/>
            <w:vMerge w:val="continue"/>
            <w:vAlign w:val="center"/>
          </w:tcPr>
          <w:p>
            <w:pPr>
              <w:jc w:val="center"/>
              <w:rPr>
                <w:rFonts w:eastAsia="黑体"/>
                <w:sz w:val="24"/>
              </w:rPr>
            </w:pPr>
          </w:p>
        </w:tc>
        <w:tc>
          <w:tcPr>
            <w:tcW w:w="763" w:type="dxa"/>
            <w:vAlign w:val="center"/>
          </w:tcPr>
          <w:p>
            <w:pPr>
              <w:ind w:right="-58" w:rightChars="-18"/>
              <w:jc w:val="center"/>
              <w:rPr>
                <w:sz w:val="24"/>
              </w:rPr>
            </w:pPr>
            <w:r>
              <w:rPr>
                <w:sz w:val="24"/>
              </w:rPr>
              <w:t>2</w:t>
            </w:r>
          </w:p>
        </w:tc>
        <w:tc>
          <w:tcPr>
            <w:tcW w:w="2921" w:type="dxa"/>
            <w:vAlign w:val="center"/>
          </w:tcPr>
          <w:p>
            <w:pPr>
              <w:rPr>
                <w:sz w:val="24"/>
              </w:rPr>
            </w:pPr>
            <w:r>
              <w:rPr>
                <w:sz w:val="24"/>
              </w:rPr>
              <w:t>药品全生命周期监管“一件事”改革</w:t>
            </w:r>
          </w:p>
        </w:tc>
        <w:tc>
          <w:tcPr>
            <w:tcW w:w="8594" w:type="dxa"/>
            <w:vAlign w:val="center"/>
          </w:tcPr>
          <w:p>
            <w:pPr>
              <w:rPr>
                <w:sz w:val="24"/>
              </w:rPr>
            </w:pPr>
            <w:r>
              <w:rPr>
                <w:sz w:val="24"/>
              </w:rPr>
              <w:t>统筹安全监管与创新发展，按照精简、协同、高效的原则，实现药品、医疗器械、化妆品全生命周期监管事项“一窗受理”“一网通办”。先行开展药品、医疗器械经营环节“一件事”改革。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63" w:type="dxa"/>
            <w:vMerge w:val="continue"/>
            <w:vAlign w:val="center"/>
          </w:tcPr>
          <w:p>
            <w:pPr>
              <w:jc w:val="center"/>
              <w:rPr>
                <w:rFonts w:eastAsia="黑体"/>
                <w:sz w:val="24"/>
              </w:rPr>
            </w:pPr>
          </w:p>
        </w:tc>
        <w:tc>
          <w:tcPr>
            <w:tcW w:w="763" w:type="dxa"/>
            <w:vAlign w:val="center"/>
          </w:tcPr>
          <w:p>
            <w:pPr>
              <w:ind w:right="-58" w:rightChars="-18"/>
              <w:jc w:val="center"/>
              <w:rPr>
                <w:sz w:val="24"/>
              </w:rPr>
            </w:pPr>
            <w:r>
              <w:rPr>
                <w:sz w:val="24"/>
              </w:rPr>
              <w:t>3</w:t>
            </w:r>
          </w:p>
        </w:tc>
        <w:tc>
          <w:tcPr>
            <w:tcW w:w="2921" w:type="dxa"/>
            <w:vAlign w:val="center"/>
          </w:tcPr>
          <w:p>
            <w:pPr>
              <w:rPr>
                <w:sz w:val="24"/>
              </w:rPr>
            </w:pPr>
            <w:r>
              <w:rPr>
                <w:sz w:val="24"/>
              </w:rPr>
              <w:t>药品检查“综合查一次”改革</w:t>
            </w:r>
          </w:p>
        </w:tc>
        <w:tc>
          <w:tcPr>
            <w:tcW w:w="8594" w:type="dxa"/>
            <w:vAlign w:val="center"/>
          </w:tcPr>
          <w:p>
            <w:pPr>
              <w:rPr>
                <w:sz w:val="24"/>
              </w:rPr>
            </w:pPr>
            <w:r>
              <w:rPr>
                <w:sz w:val="24"/>
              </w:rPr>
              <w:t>应用浙江省行政执法监管平台（“互联网+监管”平台），建立省市县“联合查”、药械化“一次查”等机制，通过一次执法，完成对统一执法对象的多个事项检查，做到“一次检查、全面体检、综合会诊、精准施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100" w:hRule="atLeast"/>
          <w:jc w:val="center"/>
        </w:trPr>
        <w:tc>
          <w:tcPr>
            <w:tcW w:w="763" w:type="dxa"/>
            <w:vMerge w:val="continue"/>
            <w:vAlign w:val="center"/>
          </w:tcPr>
          <w:p>
            <w:pPr>
              <w:jc w:val="center"/>
              <w:rPr>
                <w:rFonts w:eastAsia="黑体"/>
                <w:sz w:val="24"/>
              </w:rPr>
            </w:pPr>
          </w:p>
        </w:tc>
        <w:tc>
          <w:tcPr>
            <w:tcW w:w="763" w:type="dxa"/>
            <w:vAlign w:val="center"/>
          </w:tcPr>
          <w:p>
            <w:pPr>
              <w:ind w:right="-58" w:rightChars="-18"/>
              <w:jc w:val="center"/>
              <w:rPr>
                <w:sz w:val="24"/>
              </w:rPr>
            </w:pPr>
            <w:r>
              <w:rPr>
                <w:sz w:val="24"/>
              </w:rPr>
              <w:t>4</w:t>
            </w:r>
          </w:p>
        </w:tc>
        <w:tc>
          <w:tcPr>
            <w:tcW w:w="2921" w:type="dxa"/>
            <w:vAlign w:val="center"/>
          </w:tcPr>
          <w:p>
            <w:pPr>
              <w:rPr>
                <w:sz w:val="24"/>
              </w:rPr>
            </w:pPr>
            <w:r>
              <w:rPr>
                <w:sz w:val="24"/>
              </w:rPr>
              <w:t>药品安全风险管控模式改革</w:t>
            </w:r>
          </w:p>
        </w:tc>
        <w:tc>
          <w:tcPr>
            <w:tcW w:w="8594" w:type="dxa"/>
            <w:vAlign w:val="center"/>
          </w:tcPr>
          <w:p>
            <w:pPr>
              <w:rPr>
                <w:sz w:val="24"/>
              </w:rPr>
            </w:pPr>
            <w:r>
              <w:rPr>
                <w:sz w:val="24"/>
              </w:rPr>
              <w:t>构建成熟的风险预警模型，建设药品风险精密智控系统，建立药物警戒、药品全过程可追溯等制度，加强疫苗等高风险药品的安全性评价，实现源头可溯、过程可控、风险可防、责任可追、公众可查。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296" w:hRule="atLeast"/>
          <w:jc w:val="center"/>
        </w:trPr>
        <w:tc>
          <w:tcPr>
            <w:tcW w:w="763" w:type="dxa"/>
            <w:vMerge w:val="continue"/>
            <w:vAlign w:val="center"/>
          </w:tcPr>
          <w:p>
            <w:pPr>
              <w:jc w:val="center"/>
              <w:rPr>
                <w:rFonts w:eastAsia="黑体"/>
                <w:sz w:val="24"/>
              </w:rPr>
            </w:pPr>
          </w:p>
        </w:tc>
        <w:tc>
          <w:tcPr>
            <w:tcW w:w="763" w:type="dxa"/>
            <w:vAlign w:val="center"/>
          </w:tcPr>
          <w:p>
            <w:pPr>
              <w:ind w:right="-58" w:rightChars="-18"/>
              <w:jc w:val="center"/>
              <w:rPr>
                <w:sz w:val="24"/>
              </w:rPr>
            </w:pPr>
            <w:r>
              <w:rPr>
                <w:sz w:val="24"/>
              </w:rPr>
              <w:t>5</w:t>
            </w:r>
          </w:p>
        </w:tc>
        <w:tc>
          <w:tcPr>
            <w:tcW w:w="2921" w:type="dxa"/>
            <w:vAlign w:val="center"/>
          </w:tcPr>
          <w:p>
            <w:pPr>
              <w:rPr>
                <w:sz w:val="24"/>
              </w:rPr>
            </w:pPr>
            <w:r>
              <w:rPr>
                <w:sz w:val="24"/>
              </w:rPr>
              <w:t>药品安全治理“非现场”智能化监管改革</w:t>
            </w:r>
          </w:p>
        </w:tc>
        <w:tc>
          <w:tcPr>
            <w:tcW w:w="8594" w:type="dxa"/>
            <w:vAlign w:val="center"/>
          </w:tcPr>
          <w:p>
            <w:pPr>
              <w:rPr>
                <w:sz w:val="24"/>
              </w:rPr>
            </w:pPr>
            <w:r>
              <w:rPr>
                <w:sz w:val="24"/>
              </w:rPr>
              <w:t>遵循“人机料法环测”管理理念，运用大数据、人工智能、区块链技术，推进药品生产智慧监管“黑匣子”工程，建设远程监控智能抓拍系统、信用管理系统、药品安全大数据舆情监测研判系统，探索“AI+监管”模式。鼓励药品医疗器械化妆品生产经营企业数字化升级改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63" w:type="dxa"/>
            <w:vMerge w:val="restart"/>
            <w:vAlign w:val="center"/>
          </w:tcPr>
          <w:p>
            <w:pPr>
              <w:jc w:val="center"/>
              <w:rPr>
                <w:rFonts w:eastAsia="黑体"/>
                <w:sz w:val="24"/>
              </w:rPr>
            </w:pPr>
            <w:r>
              <w:rPr>
                <w:rFonts w:eastAsia="黑体"/>
                <w:sz w:val="24"/>
              </w:rPr>
              <w:t>重</w:t>
            </w:r>
          </w:p>
          <w:p>
            <w:pPr>
              <w:jc w:val="center"/>
              <w:rPr>
                <w:rFonts w:eastAsia="黑体"/>
                <w:sz w:val="24"/>
              </w:rPr>
            </w:pPr>
            <w:r>
              <w:rPr>
                <w:rFonts w:eastAsia="黑体"/>
                <w:sz w:val="24"/>
              </w:rPr>
              <w:t>大</w:t>
            </w:r>
          </w:p>
          <w:p>
            <w:pPr>
              <w:jc w:val="center"/>
              <w:rPr>
                <w:rFonts w:eastAsia="黑体"/>
                <w:sz w:val="24"/>
              </w:rPr>
            </w:pPr>
            <w:r>
              <w:rPr>
                <w:rFonts w:eastAsia="黑体"/>
                <w:sz w:val="24"/>
              </w:rPr>
              <w:t>改</w:t>
            </w:r>
          </w:p>
          <w:p>
            <w:pPr>
              <w:jc w:val="center"/>
              <w:rPr>
                <w:rFonts w:eastAsia="黑体"/>
                <w:sz w:val="24"/>
              </w:rPr>
            </w:pPr>
            <w:r>
              <w:rPr>
                <w:rFonts w:eastAsia="黑体"/>
                <w:sz w:val="24"/>
              </w:rPr>
              <w:t>革</w:t>
            </w:r>
          </w:p>
        </w:tc>
        <w:tc>
          <w:tcPr>
            <w:tcW w:w="763" w:type="dxa"/>
            <w:vAlign w:val="center"/>
          </w:tcPr>
          <w:p>
            <w:pPr>
              <w:ind w:right="-58" w:rightChars="-18"/>
              <w:jc w:val="center"/>
              <w:rPr>
                <w:sz w:val="24"/>
              </w:rPr>
            </w:pPr>
            <w:r>
              <w:rPr>
                <w:sz w:val="24"/>
              </w:rPr>
              <w:t>6</w:t>
            </w:r>
          </w:p>
        </w:tc>
        <w:tc>
          <w:tcPr>
            <w:tcW w:w="2921" w:type="dxa"/>
            <w:vAlign w:val="center"/>
          </w:tcPr>
          <w:p>
            <w:pPr>
              <w:rPr>
                <w:sz w:val="24"/>
              </w:rPr>
            </w:pPr>
            <w:r>
              <w:rPr>
                <w:sz w:val="24"/>
              </w:rPr>
              <w:t>推进科学监管改革，构建“2+N”技术支撑协同机制</w:t>
            </w:r>
          </w:p>
        </w:tc>
        <w:tc>
          <w:tcPr>
            <w:tcW w:w="8594" w:type="dxa"/>
            <w:vAlign w:val="center"/>
          </w:tcPr>
          <w:p>
            <w:pPr>
              <w:rPr>
                <w:sz w:val="24"/>
              </w:rPr>
            </w:pPr>
            <w:r>
              <w:rPr>
                <w:sz w:val="24"/>
              </w:rPr>
              <w:t>聚焦生命健康科创高地建设，以药品检验检测等技术支撑体系为切入点，深入推进科学监管改革，形成上下协同、功能互补、各具特色、高效运行的技术支撑协同机制，基本建成国内领先、国际一流的技术支撑高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63" w:type="dxa"/>
            <w:vMerge w:val="continue"/>
            <w:vAlign w:val="center"/>
          </w:tcPr>
          <w:p>
            <w:pPr>
              <w:jc w:val="center"/>
              <w:rPr>
                <w:rFonts w:eastAsia="黑体"/>
                <w:sz w:val="24"/>
              </w:rPr>
            </w:pPr>
          </w:p>
        </w:tc>
        <w:tc>
          <w:tcPr>
            <w:tcW w:w="763" w:type="dxa"/>
            <w:vAlign w:val="center"/>
          </w:tcPr>
          <w:p>
            <w:pPr>
              <w:ind w:right="-58" w:rightChars="-18"/>
              <w:jc w:val="center"/>
              <w:rPr>
                <w:sz w:val="24"/>
              </w:rPr>
            </w:pPr>
            <w:r>
              <w:rPr>
                <w:sz w:val="24"/>
              </w:rPr>
              <w:t>7</w:t>
            </w:r>
          </w:p>
        </w:tc>
        <w:tc>
          <w:tcPr>
            <w:tcW w:w="2921" w:type="dxa"/>
            <w:vAlign w:val="center"/>
          </w:tcPr>
          <w:p>
            <w:pPr>
              <w:rPr>
                <w:sz w:val="24"/>
              </w:rPr>
            </w:pPr>
            <w:r>
              <w:rPr>
                <w:sz w:val="24"/>
              </w:rPr>
              <w:t>探索药品“大流通”监管改革</w:t>
            </w:r>
          </w:p>
        </w:tc>
        <w:tc>
          <w:tcPr>
            <w:tcW w:w="8594" w:type="dxa"/>
            <w:vAlign w:val="center"/>
          </w:tcPr>
          <w:p>
            <w:pPr>
              <w:rPr>
                <w:sz w:val="24"/>
              </w:rPr>
            </w:pPr>
            <w:r>
              <w:rPr>
                <w:sz w:val="24"/>
              </w:rPr>
              <w:t>深化“放管服”改革，探索药品、医疗器械、化妆品流通环节监管职责整合，开展流通领域一体化监管，推进医药领域数字生活新服务和“非接触式”业态发展，进一步优化营商环境。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63" w:type="dxa"/>
            <w:vMerge w:val="restart"/>
            <w:vAlign w:val="center"/>
          </w:tcPr>
          <w:p>
            <w:pPr>
              <w:jc w:val="center"/>
              <w:rPr>
                <w:rFonts w:eastAsia="黑体"/>
                <w:sz w:val="24"/>
              </w:rPr>
            </w:pPr>
            <w:r>
              <w:rPr>
                <w:rFonts w:eastAsia="黑体"/>
                <w:sz w:val="24"/>
              </w:rPr>
              <w:t>重</w:t>
            </w:r>
          </w:p>
          <w:p>
            <w:pPr>
              <w:jc w:val="center"/>
              <w:rPr>
                <w:rFonts w:eastAsia="黑体"/>
                <w:sz w:val="24"/>
              </w:rPr>
            </w:pPr>
            <w:r>
              <w:rPr>
                <w:rFonts w:eastAsia="黑体"/>
                <w:sz w:val="24"/>
              </w:rPr>
              <w:t>大</w:t>
            </w:r>
          </w:p>
          <w:p>
            <w:pPr>
              <w:jc w:val="center"/>
              <w:rPr>
                <w:rFonts w:eastAsia="黑体"/>
                <w:sz w:val="24"/>
              </w:rPr>
            </w:pPr>
            <w:r>
              <w:rPr>
                <w:rFonts w:eastAsia="黑体"/>
                <w:sz w:val="24"/>
              </w:rPr>
              <w:t>项</w:t>
            </w:r>
          </w:p>
          <w:p>
            <w:pPr>
              <w:jc w:val="center"/>
              <w:rPr>
                <w:rFonts w:eastAsia="黑体"/>
                <w:sz w:val="24"/>
              </w:rPr>
            </w:pPr>
            <w:r>
              <w:rPr>
                <w:rFonts w:eastAsia="黑体"/>
                <w:sz w:val="24"/>
              </w:rPr>
              <w:t>目</w:t>
            </w:r>
          </w:p>
        </w:tc>
        <w:tc>
          <w:tcPr>
            <w:tcW w:w="763" w:type="dxa"/>
            <w:vAlign w:val="center"/>
          </w:tcPr>
          <w:p>
            <w:pPr>
              <w:jc w:val="center"/>
              <w:rPr>
                <w:sz w:val="24"/>
              </w:rPr>
            </w:pPr>
            <w:r>
              <w:rPr>
                <w:sz w:val="24"/>
              </w:rPr>
              <w:t>1</w:t>
            </w:r>
          </w:p>
        </w:tc>
        <w:tc>
          <w:tcPr>
            <w:tcW w:w="2921" w:type="dxa"/>
            <w:vAlign w:val="center"/>
          </w:tcPr>
          <w:p>
            <w:pPr>
              <w:rPr>
                <w:sz w:val="24"/>
              </w:rPr>
            </w:pPr>
            <w:r>
              <w:rPr>
                <w:sz w:val="24"/>
              </w:rPr>
              <w:t>医药科创“四个一百”工程</w:t>
            </w:r>
          </w:p>
        </w:tc>
        <w:tc>
          <w:tcPr>
            <w:tcW w:w="8594" w:type="dxa"/>
            <w:vAlign w:val="center"/>
          </w:tcPr>
          <w:p>
            <w:pPr>
              <w:rPr>
                <w:sz w:val="24"/>
              </w:rPr>
            </w:pPr>
            <w:r>
              <w:rPr>
                <w:sz w:val="24"/>
              </w:rPr>
              <w:t>“十四五”期间，组织申报100个创新药、申报100个仿制药质量和疗效一致性评价、培育100个创新医疗器械进入创新审批通道、制修订100项药品医疗器械化妆品标准。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2009" w:hRule="atLeast"/>
          <w:jc w:val="center"/>
        </w:trPr>
        <w:tc>
          <w:tcPr>
            <w:tcW w:w="763" w:type="dxa"/>
            <w:vMerge w:val="continue"/>
            <w:vAlign w:val="center"/>
          </w:tcPr>
          <w:p>
            <w:pPr>
              <w:jc w:val="center"/>
              <w:rPr>
                <w:rFonts w:eastAsia="黑体"/>
                <w:sz w:val="24"/>
              </w:rPr>
            </w:pPr>
          </w:p>
        </w:tc>
        <w:tc>
          <w:tcPr>
            <w:tcW w:w="763" w:type="dxa"/>
            <w:vAlign w:val="center"/>
          </w:tcPr>
          <w:p>
            <w:pPr>
              <w:jc w:val="center"/>
              <w:rPr>
                <w:sz w:val="24"/>
              </w:rPr>
            </w:pPr>
            <w:r>
              <w:rPr>
                <w:sz w:val="24"/>
              </w:rPr>
              <w:t>2</w:t>
            </w:r>
          </w:p>
        </w:tc>
        <w:tc>
          <w:tcPr>
            <w:tcW w:w="2921" w:type="dxa"/>
            <w:vAlign w:val="center"/>
          </w:tcPr>
          <w:p>
            <w:pPr>
              <w:rPr>
                <w:sz w:val="24"/>
              </w:rPr>
            </w:pPr>
            <w:r>
              <w:rPr>
                <w:sz w:val="24"/>
              </w:rPr>
              <w:t>“浙产好药”“浙造器械”“浙江美妆”品牌培育工程</w:t>
            </w:r>
          </w:p>
        </w:tc>
        <w:tc>
          <w:tcPr>
            <w:tcW w:w="8594" w:type="dxa"/>
            <w:vAlign w:val="center"/>
          </w:tcPr>
          <w:p>
            <w:pPr>
              <w:rPr>
                <w:sz w:val="24"/>
              </w:rPr>
            </w:pPr>
            <w:r>
              <w:rPr>
                <w:sz w:val="24"/>
              </w:rPr>
              <w:t>深化“三服务”产业赋能，搭建高能级技术支撑平台，构筑产业链生态网络，鼓励创新研发，促进医药产业规模化集约化高端化发展。药品领域，助力构建生物医药标志性产业链，推动化学药产业基础能力和产业链核心竞争力明显提升，促进中药传承创新；医疗器械领域，支持植（介）入产品和高值耗材、智能诊断、智能治疗装备等领域产品研发，打造“五大疾病”防治器械制造高地；化妆品领域，围绕“一个中心+两个基地+三个平台”产业布局，打造千亿级浙江美妆产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646" w:hRule="atLeast"/>
          <w:jc w:val="center"/>
        </w:trPr>
        <w:tc>
          <w:tcPr>
            <w:tcW w:w="763" w:type="dxa"/>
            <w:vMerge w:val="continue"/>
            <w:vAlign w:val="center"/>
          </w:tcPr>
          <w:p>
            <w:pPr>
              <w:jc w:val="center"/>
              <w:rPr>
                <w:rFonts w:eastAsia="黑体"/>
                <w:sz w:val="24"/>
              </w:rPr>
            </w:pPr>
          </w:p>
        </w:tc>
        <w:tc>
          <w:tcPr>
            <w:tcW w:w="763" w:type="dxa"/>
            <w:vAlign w:val="center"/>
          </w:tcPr>
          <w:p>
            <w:pPr>
              <w:jc w:val="center"/>
              <w:rPr>
                <w:sz w:val="24"/>
              </w:rPr>
            </w:pPr>
            <w:r>
              <w:rPr>
                <w:sz w:val="24"/>
              </w:rPr>
              <w:t>3</w:t>
            </w:r>
          </w:p>
        </w:tc>
        <w:tc>
          <w:tcPr>
            <w:tcW w:w="2921" w:type="dxa"/>
            <w:vAlign w:val="center"/>
          </w:tcPr>
          <w:p>
            <w:pPr>
              <w:rPr>
                <w:sz w:val="24"/>
              </w:rPr>
            </w:pPr>
            <w:r>
              <w:rPr>
                <w:sz w:val="24"/>
              </w:rPr>
              <w:t>中药传承创新工程</w:t>
            </w:r>
          </w:p>
        </w:tc>
        <w:tc>
          <w:tcPr>
            <w:tcW w:w="8594" w:type="dxa"/>
            <w:vAlign w:val="center"/>
          </w:tcPr>
          <w:p>
            <w:pPr>
              <w:rPr>
                <w:sz w:val="24"/>
              </w:rPr>
            </w:pPr>
            <w:r>
              <w:rPr>
                <w:sz w:val="24"/>
              </w:rPr>
              <w:t>开展中药配方颗粒标准、中药炮制规范、中药材标准研究，培育中药创新药；鼓励开展中药经典名方及中药二次开发研究，研制具有竞争力的名方名药；扶持地方道地药材的标准化种植和风险管控技术研究，加快具有地方临床习用史和栽培优势的药用植物研究开发，认定一批林下道地中药材种植基地，推进中药材及饮片加工“共享车间”提质扩面，促进“新老浙八味”等特色中药材传承创新发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352" w:hRule="atLeast"/>
          <w:jc w:val="center"/>
        </w:trPr>
        <w:tc>
          <w:tcPr>
            <w:tcW w:w="763" w:type="dxa"/>
            <w:vMerge w:val="continue"/>
            <w:vAlign w:val="center"/>
          </w:tcPr>
          <w:p>
            <w:pPr>
              <w:jc w:val="center"/>
              <w:rPr>
                <w:rFonts w:eastAsia="黑体"/>
                <w:sz w:val="24"/>
              </w:rPr>
            </w:pPr>
          </w:p>
        </w:tc>
        <w:tc>
          <w:tcPr>
            <w:tcW w:w="763" w:type="dxa"/>
            <w:vAlign w:val="center"/>
          </w:tcPr>
          <w:p>
            <w:pPr>
              <w:jc w:val="center"/>
              <w:rPr>
                <w:sz w:val="24"/>
              </w:rPr>
            </w:pPr>
            <w:r>
              <w:rPr>
                <w:sz w:val="24"/>
              </w:rPr>
              <w:t>4</w:t>
            </w:r>
          </w:p>
        </w:tc>
        <w:tc>
          <w:tcPr>
            <w:tcW w:w="2921" w:type="dxa"/>
            <w:vAlign w:val="center"/>
          </w:tcPr>
          <w:p>
            <w:pPr>
              <w:rPr>
                <w:sz w:val="24"/>
              </w:rPr>
            </w:pPr>
            <w:r>
              <w:rPr>
                <w:sz w:val="24"/>
              </w:rPr>
              <w:t>“药检”“药基”“药匠”提升工程</w:t>
            </w:r>
          </w:p>
        </w:tc>
        <w:tc>
          <w:tcPr>
            <w:tcW w:w="8594" w:type="dxa"/>
            <w:vAlign w:val="center"/>
          </w:tcPr>
          <w:p>
            <w:pPr>
              <w:rPr>
                <w:sz w:val="24"/>
              </w:rPr>
            </w:pPr>
            <w:r>
              <w:rPr>
                <w:sz w:val="24"/>
              </w:rPr>
              <w:t>实施“药检”提升工程，推进省市县三级检验检测、不良反应（事件）监测能力建设；实施“药基”夯实工程，强化基层药品监管专业队伍建设；实施“药匠”培育工程，省级每年培训20000名专业技术人员、1000名企业负责人和质量管理人员、500名监管干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800" w:hRule="atLeast"/>
          <w:jc w:val="center"/>
        </w:trPr>
        <w:tc>
          <w:tcPr>
            <w:tcW w:w="763" w:type="dxa"/>
            <w:vMerge w:val="restart"/>
            <w:vAlign w:val="center"/>
          </w:tcPr>
          <w:p>
            <w:pPr>
              <w:jc w:val="center"/>
              <w:rPr>
                <w:rFonts w:eastAsia="黑体"/>
                <w:sz w:val="24"/>
              </w:rPr>
            </w:pPr>
            <w:r>
              <w:rPr>
                <w:rFonts w:eastAsia="黑体"/>
                <w:sz w:val="24"/>
              </w:rPr>
              <w:t>重</w:t>
            </w:r>
          </w:p>
          <w:p>
            <w:pPr>
              <w:jc w:val="center"/>
              <w:rPr>
                <w:rFonts w:eastAsia="黑体"/>
                <w:sz w:val="24"/>
              </w:rPr>
            </w:pPr>
            <w:r>
              <w:rPr>
                <w:rFonts w:eastAsia="黑体"/>
                <w:sz w:val="24"/>
              </w:rPr>
              <w:t>大</w:t>
            </w:r>
          </w:p>
          <w:p>
            <w:pPr>
              <w:jc w:val="center"/>
              <w:rPr>
                <w:rFonts w:eastAsia="黑体"/>
                <w:sz w:val="24"/>
              </w:rPr>
            </w:pPr>
            <w:r>
              <w:rPr>
                <w:rFonts w:eastAsia="黑体"/>
                <w:sz w:val="24"/>
              </w:rPr>
              <w:t>平</w:t>
            </w:r>
          </w:p>
          <w:p>
            <w:pPr>
              <w:jc w:val="center"/>
              <w:rPr>
                <w:rFonts w:eastAsia="黑体"/>
                <w:sz w:val="24"/>
              </w:rPr>
            </w:pPr>
            <w:r>
              <w:rPr>
                <w:rFonts w:eastAsia="黑体"/>
                <w:sz w:val="24"/>
              </w:rPr>
              <w:t>台</w:t>
            </w:r>
          </w:p>
        </w:tc>
        <w:tc>
          <w:tcPr>
            <w:tcW w:w="763" w:type="dxa"/>
            <w:vAlign w:val="center"/>
          </w:tcPr>
          <w:p>
            <w:pPr>
              <w:jc w:val="center"/>
              <w:rPr>
                <w:sz w:val="24"/>
              </w:rPr>
            </w:pPr>
            <w:r>
              <w:rPr>
                <w:sz w:val="24"/>
              </w:rPr>
              <w:t>1</w:t>
            </w:r>
          </w:p>
        </w:tc>
        <w:tc>
          <w:tcPr>
            <w:tcW w:w="2921" w:type="dxa"/>
            <w:vAlign w:val="center"/>
          </w:tcPr>
          <w:p>
            <w:pPr>
              <w:rPr>
                <w:sz w:val="24"/>
              </w:rPr>
            </w:pPr>
            <w:r>
              <w:rPr>
                <w:sz w:val="24"/>
              </w:rPr>
              <w:t>生物医药和医疗器械创新服务平台</w:t>
            </w:r>
          </w:p>
        </w:tc>
        <w:tc>
          <w:tcPr>
            <w:tcW w:w="8594" w:type="dxa"/>
            <w:vAlign w:val="center"/>
          </w:tcPr>
          <w:p>
            <w:pPr>
              <w:rPr>
                <w:sz w:val="24"/>
              </w:rPr>
            </w:pPr>
            <w:r>
              <w:rPr>
                <w:sz w:val="24"/>
              </w:rPr>
              <w:t>打造“生物医药创新公共服务平台”“</w:t>
            </w:r>
            <w:bookmarkStart w:id="91" w:name="_Hlk72285180"/>
            <w:r>
              <w:rPr>
                <w:sz w:val="24"/>
              </w:rPr>
              <w:t>医疗器械检测评价与创新服务综合体</w:t>
            </w:r>
            <w:bookmarkEnd w:id="91"/>
            <w:r>
              <w:rPr>
                <w:sz w:val="24"/>
              </w:rPr>
              <w:t>”，建设国内领先的疫苗和生物制品批签发实验室、生物医药研发、中试和产业化基地及公共卫生应急物资（医疗器械）检测中心、医疗器械生物安全评价中心、医疗器械全生命周期创新服务平台，打造长三角区域生命健康科创支撑高地。一体推进华东药用植物种质资源库、浙江省化妆品安全与功效评价中心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883" w:hRule="atLeast"/>
          <w:jc w:val="center"/>
        </w:trPr>
        <w:tc>
          <w:tcPr>
            <w:tcW w:w="763" w:type="dxa"/>
            <w:vMerge w:val="continue"/>
            <w:vAlign w:val="center"/>
          </w:tcPr>
          <w:p>
            <w:pPr>
              <w:jc w:val="center"/>
              <w:rPr>
                <w:rFonts w:eastAsia="黑体"/>
                <w:sz w:val="24"/>
              </w:rPr>
            </w:pPr>
          </w:p>
        </w:tc>
        <w:tc>
          <w:tcPr>
            <w:tcW w:w="763" w:type="dxa"/>
            <w:vAlign w:val="center"/>
          </w:tcPr>
          <w:p>
            <w:pPr>
              <w:jc w:val="center"/>
              <w:rPr>
                <w:sz w:val="24"/>
              </w:rPr>
            </w:pPr>
            <w:r>
              <w:rPr>
                <w:sz w:val="24"/>
              </w:rPr>
              <w:t>2</w:t>
            </w:r>
          </w:p>
        </w:tc>
        <w:tc>
          <w:tcPr>
            <w:tcW w:w="2921" w:type="dxa"/>
            <w:vAlign w:val="center"/>
          </w:tcPr>
          <w:p>
            <w:pPr>
              <w:rPr>
                <w:sz w:val="24"/>
              </w:rPr>
            </w:pPr>
            <w:r>
              <w:rPr>
                <w:sz w:val="24"/>
              </w:rPr>
              <w:t>原料药安全与创新协同平台</w:t>
            </w:r>
          </w:p>
        </w:tc>
        <w:tc>
          <w:tcPr>
            <w:tcW w:w="8594" w:type="dxa"/>
            <w:vAlign w:val="center"/>
          </w:tcPr>
          <w:p>
            <w:pPr>
              <w:rPr>
                <w:sz w:val="24"/>
              </w:rPr>
            </w:pPr>
            <w:r>
              <w:rPr>
                <w:sz w:val="24"/>
              </w:rPr>
              <w:t>以省食品药品检验研究院为主体，联合中国药科大学等科研院校、相关检验机构、原料药头部企业，建设浙江省原料药安全研究中心，聚焦国际技术前沿，开展原料药政策研究、产业分析、杂质检测、标准制定、技术创新、项目合作等，助力国内上下游产业链合作、质量标准提升、科技和产业创新等，破解原料药“卡脖子”因素，提高原料药产业竞争力。争创国家级原料药安全研究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548" w:hRule="atLeast"/>
          <w:jc w:val="center"/>
        </w:trPr>
        <w:tc>
          <w:tcPr>
            <w:tcW w:w="763" w:type="dxa"/>
            <w:vMerge w:val="continue"/>
            <w:vAlign w:val="center"/>
          </w:tcPr>
          <w:p>
            <w:pPr>
              <w:jc w:val="center"/>
              <w:rPr>
                <w:rFonts w:eastAsia="黑体"/>
                <w:sz w:val="24"/>
              </w:rPr>
            </w:pPr>
          </w:p>
        </w:tc>
        <w:tc>
          <w:tcPr>
            <w:tcW w:w="763" w:type="dxa"/>
            <w:vAlign w:val="center"/>
          </w:tcPr>
          <w:p>
            <w:pPr>
              <w:jc w:val="center"/>
              <w:rPr>
                <w:sz w:val="24"/>
              </w:rPr>
            </w:pPr>
            <w:r>
              <w:rPr>
                <w:sz w:val="24"/>
              </w:rPr>
              <w:t>3</w:t>
            </w:r>
          </w:p>
        </w:tc>
        <w:tc>
          <w:tcPr>
            <w:tcW w:w="2921" w:type="dxa"/>
            <w:vAlign w:val="center"/>
          </w:tcPr>
          <w:p>
            <w:pPr>
              <w:rPr>
                <w:sz w:val="24"/>
              </w:rPr>
            </w:pPr>
            <w:r>
              <w:rPr>
                <w:sz w:val="24"/>
              </w:rPr>
              <w:t>“数字药监”综合集成平台</w:t>
            </w:r>
          </w:p>
        </w:tc>
        <w:tc>
          <w:tcPr>
            <w:tcW w:w="8594" w:type="dxa"/>
            <w:vAlign w:val="center"/>
          </w:tcPr>
          <w:p>
            <w:pPr>
              <w:rPr>
                <w:sz w:val="24"/>
              </w:rPr>
            </w:pPr>
            <w:r>
              <w:rPr>
                <w:sz w:val="24"/>
              </w:rPr>
              <w:t>综合运用大数据、云计算、区块链等技术，打造“数字药监”综合集成平台，实现药品、医疗器械、化妆品全领域智控，研发、生产、流通、使用全过程智控，生产、批发、零售企业及医疗机构全场景智控，审评审批、监督检查、监督抽检、不良反应（事件）监测、稽查执法等全业务智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114" w:hRule="atLeast"/>
          <w:jc w:val="center"/>
        </w:trPr>
        <w:tc>
          <w:tcPr>
            <w:tcW w:w="763" w:type="dxa"/>
            <w:vMerge w:val="continue"/>
            <w:vAlign w:val="center"/>
          </w:tcPr>
          <w:p>
            <w:pPr>
              <w:jc w:val="center"/>
              <w:rPr>
                <w:rFonts w:eastAsia="黑体"/>
                <w:sz w:val="24"/>
              </w:rPr>
            </w:pPr>
          </w:p>
        </w:tc>
        <w:tc>
          <w:tcPr>
            <w:tcW w:w="763" w:type="dxa"/>
            <w:vAlign w:val="center"/>
          </w:tcPr>
          <w:p>
            <w:pPr>
              <w:jc w:val="center"/>
              <w:rPr>
                <w:sz w:val="24"/>
              </w:rPr>
            </w:pPr>
            <w:r>
              <w:rPr>
                <w:sz w:val="24"/>
              </w:rPr>
              <w:t>4</w:t>
            </w:r>
          </w:p>
        </w:tc>
        <w:tc>
          <w:tcPr>
            <w:tcW w:w="2921" w:type="dxa"/>
            <w:vAlign w:val="center"/>
          </w:tcPr>
          <w:p>
            <w:pPr>
              <w:rPr>
                <w:sz w:val="24"/>
              </w:rPr>
            </w:pPr>
            <w:r>
              <w:rPr>
                <w:sz w:val="24"/>
              </w:rPr>
              <w:t>“生物安全、生命健康”医药数字赋能平台</w:t>
            </w:r>
          </w:p>
        </w:tc>
        <w:tc>
          <w:tcPr>
            <w:tcW w:w="8594" w:type="dxa"/>
            <w:vAlign w:val="center"/>
          </w:tcPr>
          <w:p>
            <w:pPr>
              <w:rPr>
                <w:sz w:val="24"/>
              </w:rPr>
            </w:pPr>
            <w:r>
              <w:rPr>
                <w:sz w:val="24"/>
              </w:rPr>
              <w:t>围绕维护生物安全和打造生命健康科创高地，针对医药领域科技创新、成果转化和产品上市，开发医药科创数字赋能平台，搭建医药企业与政策、技术、服务“三对接”平台，营造医药创新“雨林”生态。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505" w:hRule="atLeast"/>
          <w:jc w:val="center"/>
        </w:trPr>
        <w:tc>
          <w:tcPr>
            <w:tcW w:w="763" w:type="dxa"/>
            <w:vAlign w:val="center"/>
          </w:tcPr>
          <w:p>
            <w:pPr>
              <w:jc w:val="center"/>
              <w:rPr>
                <w:rFonts w:eastAsia="黑体"/>
                <w:sz w:val="24"/>
              </w:rPr>
            </w:pPr>
            <w:r>
              <w:rPr>
                <w:rFonts w:eastAsia="黑体"/>
                <w:sz w:val="24"/>
              </w:rPr>
              <w:t>重</w:t>
            </w:r>
          </w:p>
          <w:p>
            <w:pPr>
              <w:jc w:val="center"/>
              <w:rPr>
                <w:rFonts w:eastAsia="黑体"/>
                <w:sz w:val="24"/>
              </w:rPr>
            </w:pPr>
            <w:r>
              <w:rPr>
                <w:rFonts w:eastAsia="黑体"/>
                <w:sz w:val="24"/>
              </w:rPr>
              <w:t>大</w:t>
            </w:r>
          </w:p>
          <w:p>
            <w:pPr>
              <w:jc w:val="center"/>
              <w:rPr>
                <w:rFonts w:eastAsia="黑体"/>
                <w:sz w:val="24"/>
              </w:rPr>
            </w:pPr>
            <w:r>
              <w:rPr>
                <w:rFonts w:eastAsia="黑体"/>
                <w:sz w:val="24"/>
              </w:rPr>
              <w:t>政</w:t>
            </w:r>
          </w:p>
          <w:p>
            <w:pPr>
              <w:jc w:val="center"/>
              <w:rPr>
                <w:rFonts w:eastAsia="黑体"/>
                <w:sz w:val="24"/>
              </w:rPr>
            </w:pPr>
            <w:r>
              <w:rPr>
                <w:rFonts w:eastAsia="黑体"/>
                <w:sz w:val="24"/>
              </w:rPr>
              <w:t>策</w:t>
            </w:r>
          </w:p>
        </w:tc>
        <w:tc>
          <w:tcPr>
            <w:tcW w:w="763" w:type="dxa"/>
            <w:vAlign w:val="center"/>
          </w:tcPr>
          <w:p>
            <w:pPr>
              <w:jc w:val="center"/>
              <w:rPr>
                <w:sz w:val="24"/>
              </w:rPr>
            </w:pPr>
            <w:r>
              <w:rPr>
                <w:sz w:val="24"/>
              </w:rPr>
              <w:t>1</w:t>
            </w:r>
          </w:p>
        </w:tc>
        <w:tc>
          <w:tcPr>
            <w:tcW w:w="2921" w:type="dxa"/>
            <w:vAlign w:val="center"/>
          </w:tcPr>
          <w:p>
            <w:pPr>
              <w:rPr>
                <w:sz w:val="24"/>
              </w:rPr>
            </w:pPr>
            <w:r>
              <w:rPr>
                <w:sz w:val="24"/>
              </w:rPr>
              <w:t>关于全面加强药品监管能力建设的实施办法（暂定名）</w:t>
            </w:r>
          </w:p>
        </w:tc>
        <w:tc>
          <w:tcPr>
            <w:tcW w:w="8594" w:type="dxa"/>
            <w:vAlign w:val="center"/>
          </w:tcPr>
          <w:p>
            <w:pPr>
              <w:rPr>
                <w:sz w:val="24"/>
              </w:rPr>
            </w:pPr>
            <w:r>
              <w:rPr>
                <w:sz w:val="24"/>
              </w:rPr>
              <w:t>根据《国务院办公厅关于全面加强药品监管能力建设的实施意见》，落实“四个最严”要求，围绕“保安全、促发展、争一流”，强基础、补短板、破瓶颈、促提升，深化审评审批制度改革，持续推进监管创新，加强监管能力建设，建立健全科学高效权威的药品监管体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465" w:hRule="atLeast"/>
          <w:jc w:val="center"/>
        </w:trPr>
        <w:tc>
          <w:tcPr>
            <w:tcW w:w="763" w:type="dxa"/>
            <w:vMerge w:val="restart"/>
            <w:vAlign w:val="center"/>
          </w:tcPr>
          <w:p>
            <w:pPr>
              <w:jc w:val="center"/>
              <w:rPr>
                <w:rFonts w:eastAsia="黑体"/>
                <w:sz w:val="24"/>
              </w:rPr>
            </w:pPr>
            <w:r>
              <w:rPr>
                <w:rFonts w:eastAsia="黑体"/>
                <w:sz w:val="24"/>
              </w:rPr>
              <w:t>重</w:t>
            </w:r>
          </w:p>
          <w:p>
            <w:pPr>
              <w:jc w:val="center"/>
              <w:rPr>
                <w:rFonts w:eastAsia="黑体"/>
                <w:sz w:val="24"/>
              </w:rPr>
            </w:pPr>
            <w:r>
              <w:rPr>
                <w:rFonts w:eastAsia="黑体"/>
                <w:sz w:val="24"/>
              </w:rPr>
              <w:t>大</w:t>
            </w:r>
          </w:p>
          <w:p>
            <w:pPr>
              <w:jc w:val="center"/>
              <w:rPr>
                <w:rFonts w:eastAsia="黑体"/>
                <w:sz w:val="24"/>
              </w:rPr>
            </w:pPr>
            <w:r>
              <w:rPr>
                <w:rFonts w:eastAsia="黑体"/>
                <w:sz w:val="24"/>
              </w:rPr>
              <w:t>政</w:t>
            </w:r>
          </w:p>
          <w:p>
            <w:pPr>
              <w:jc w:val="center"/>
              <w:rPr>
                <w:rFonts w:eastAsia="黑体"/>
                <w:sz w:val="24"/>
              </w:rPr>
            </w:pPr>
            <w:r>
              <w:rPr>
                <w:rFonts w:eastAsia="黑体"/>
                <w:sz w:val="24"/>
              </w:rPr>
              <w:t>策</w:t>
            </w:r>
          </w:p>
        </w:tc>
        <w:tc>
          <w:tcPr>
            <w:tcW w:w="763" w:type="dxa"/>
            <w:vAlign w:val="center"/>
          </w:tcPr>
          <w:p>
            <w:pPr>
              <w:jc w:val="center"/>
              <w:rPr>
                <w:sz w:val="24"/>
              </w:rPr>
            </w:pPr>
            <w:r>
              <w:rPr>
                <w:sz w:val="24"/>
              </w:rPr>
              <w:t>2</w:t>
            </w:r>
          </w:p>
        </w:tc>
        <w:tc>
          <w:tcPr>
            <w:tcW w:w="2921" w:type="dxa"/>
            <w:vAlign w:val="center"/>
          </w:tcPr>
          <w:p>
            <w:pPr>
              <w:rPr>
                <w:sz w:val="24"/>
              </w:rPr>
            </w:pPr>
            <w:r>
              <w:rPr>
                <w:sz w:val="24"/>
              </w:rPr>
              <w:t>关于深化药品监管体制改革完善市级药品检查机制建设的通知（暂定名）</w:t>
            </w:r>
          </w:p>
        </w:tc>
        <w:tc>
          <w:tcPr>
            <w:tcW w:w="8594" w:type="dxa"/>
            <w:vAlign w:val="center"/>
          </w:tcPr>
          <w:p>
            <w:pPr>
              <w:rPr>
                <w:sz w:val="24"/>
              </w:rPr>
            </w:pPr>
            <w:r>
              <w:rPr>
                <w:sz w:val="24"/>
              </w:rPr>
              <w:t>贯彻落实省委“十四五”规划建议关于“健全食品药品监管体制机制”的决策部署，发挥市场监管体制综合优势，优化调整省市县三级药品、医疗器械、化妆品监管职责，完善制度机制，构建权责明确、联动紧密、运行顺畅的协同监管体系，提升监管效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463" w:hRule="atLeast"/>
          <w:jc w:val="center"/>
        </w:trPr>
        <w:tc>
          <w:tcPr>
            <w:tcW w:w="763" w:type="dxa"/>
            <w:vMerge w:val="continue"/>
            <w:vAlign w:val="center"/>
          </w:tcPr>
          <w:p>
            <w:pPr>
              <w:jc w:val="center"/>
              <w:rPr>
                <w:rFonts w:eastAsia="黑体"/>
                <w:sz w:val="24"/>
              </w:rPr>
            </w:pPr>
          </w:p>
        </w:tc>
        <w:tc>
          <w:tcPr>
            <w:tcW w:w="763" w:type="dxa"/>
            <w:vAlign w:val="center"/>
          </w:tcPr>
          <w:p>
            <w:pPr>
              <w:jc w:val="center"/>
              <w:rPr>
                <w:sz w:val="24"/>
              </w:rPr>
            </w:pPr>
            <w:r>
              <w:rPr>
                <w:sz w:val="24"/>
              </w:rPr>
              <w:t>3</w:t>
            </w:r>
          </w:p>
        </w:tc>
        <w:tc>
          <w:tcPr>
            <w:tcW w:w="2921" w:type="dxa"/>
            <w:vAlign w:val="center"/>
          </w:tcPr>
          <w:p>
            <w:pPr>
              <w:rPr>
                <w:sz w:val="24"/>
              </w:rPr>
            </w:pPr>
            <w:r>
              <w:rPr>
                <w:sz w:val="24"/>
              </w:rPr>
              <w:t>关于推动浙江省医疗器械产业高质量发展和高水平安全的若干意见（暂定名）</w:t>
            </w:r>
          </w:p>
        </w:tc>
        <w:tc>
          <w:tcPr>
            <w:tcW w:w="8594" w:type="dxa"/>
            <w:vAlign w:val="center"/>
          </w:tcPr>
          <w:p>
            <w:pPr>
              <w:rPr>
                <w:sz w:val="24"/>
              </w:rPr>
            </w:pPr>
            <w:r>
              <w:rPr>
                <w:sz w:val="24"/>
              </w:rPr>
              <w:t>贯彻落实省委、省政府打造“三大科创高地”的决策部署，推动医疗器械产业基础和产业链提升，推进“浙造器械”品牌建设，打造心脑血管疾病、癌症、慢性呼吸系统疾病、糖尿病、传染病等五大疾病防治器械制造高地和全国重要的医疗器械产业集聚区。</w:t>
            </w:r>
          </w:p>
        </w:tc>
      </w:tr>
    </w:tbl>
    <w:p>
      <w:pPr>
        <w:overflowPunct w:val="0"/>
        <w:spacing w:line="590" w:lineRule="exact"/>
        <w:ind w:firstLine="640" w:firstLineChars="200"/>
        <w:rPr>
          <w:rFonts w:eastAsia="方正小标宋简体"/>
          <w:szCs w:val="32"/>
        </w:rPr>
      </w:pPr>
    </w:p>
    <w:p>
      <w:pPr>
        <w:overflowPunct w:val="0"/>
        <w:spacing w:line="590" w:lineRule="exact"/>
        <w:ind w:firstLine="640" w:firstLineChars="200"/>
        <w:rPr>
          <w:rFonts w:eastAsia="方正小标宋简体"/>
          <w:szCs w:val="32"/>
        </w:rPr>
      </w:pPr>
    </w:p>
    <w:p>
      <w:pPr>
        <w:overflowPunct w:val="0"/>
        <w:spacing w:line="590" w:lineRule="exact"/>
        <w:ind w:firstLine="640" w:firstLineChars="200"/>
        <w:rPr>
          <w:rFonts w:eastAsia="方正小标宋简体"/>
          <w:szCs w:val="32"/>
        </w:rPr>
      </w:pPr>
    </w:p>
    <w:p>
      <w:pPr>
        <w:overflowPunct w:val="0"/>
        <w:spacing w:line="590" w:lineRule="exact"/>
        <w:ind w:firstLine="640" w:firstLineChars="200"/>
        <w:rPr>
          <w:rFonts w:eastAsia="方正小标宋简体"/>
          <w:szCs w:val="32"/>
        </w:rPr>
      </w:pPr>
    </w:p>
    <w:p>
      <w:pPr>
        <w:overflowPunct w:val="0"/>
        <w:spacing w:line="590" w:lineRule="exact"/>
        <w:ind w:firstLine="640" w:firstLineChars="200"/>
        <w:rPr>
          <w:rFonts w:eastAsia="方正小标宋简体"/>
          <w:szCs w:val="32"/>
        </w:rPr>
      </w:pPr>
    </w:p>
    <w:p>
      <w:pPr>
        <w:overflowPunct w:val="0"/>
        <w:spacing w:line="590" w:lineRule="exact"/>
        <w:ind w:firstLine="640" w:firstLineChars="200"/>
        <w:rPr>
          <w:rFonts w:eastAsia="方正小标宋简体"/>
          <w:szCs w:val="32"/>
        </w:rPr>
      </w:pPr>
    </w:p>
    <w:p>
      <w:pPr>
        <w:overflowPunct w:val="0"/>
        <w:spacing w:line="590" w:lineRule="exact"/>
        <w:ind w:firstLine="640" w:firstLineChars="200"/>
        <w:rPr>
          <w:rFonts w:eastAsia="方正小标宋简体"/>
          <w:szCs w:val="32"/>
        </w:rPr>
        <w:sectPr>
          <w:footnotePr>
            <w:numFmt w:val="decimalEnclosedCircleChinese"/>
            <w:numRestart w:val="eachPage"/>
          </w:footnotePr>
          <w:pgSz w:w="16838" w:h="11906" w:orient="landscape"/>
          <w:pgMar w:top="1531" w:right="1871" w:bottom="1531" w:left="1701" w:header="851" w:footer="1134" w:gutter="0"/>
          <w:cols w:space="720" w:num="1"/>
          <w:docGrid w:linePitch="312" w:charSpace="0"/>
        </w:sectPr>
      </w:pPr>
    </w:p>
    <w:p>
      <w:pPr>
        <w:spacing w:line="590" w:lineRule="exact"/>
        <w:rPr>
          <w:rFonts w:hint="eastAsia" w:eastAsia="黑体"/>
          <w:szCs w:val="32"/>
        </w:rPr>
      </w:pPr>
      <w:bookmarkStart w:id="92" w:name="_Hlk72454058"/>
      <w:r>
        <w:rPr>
          <w:rFonts w:eastAsia="黑体"/>
          <w:szCs w:val="32"/>
        </w:rPr>
        <w:t>附件2</w:t>
      </w:r>
      <w:bookmarkStart w:id="93" w:name="_Toc73266786"/>
    </w:p>
    <w:p>
      <w:pPr>
        <w:spacing w:line="590" w:lineRule="exact"/>
        <w:rPr>
          <w:rFonts w:hint="eastAsia" w:eastAsia="黑体"/>
          <w:szCs w:val="32"/>
        </w:rPr>
      </w:pPr>
    </w:p>
    <w:p>
      <w:pPr>
        <w:spacing w:line="590" w:lineRule="exact"/>
        <w:jc w:val="center"/>
        <w:rPr>
          <w:rFonts w:eastAsia="黑体"/>
          <w:sz w:val="44"/>
          <w:szCs w:val="44"/>
        </w:rPr>
      </w:pPr>
      <w:r>
        <w:rPr>
          <w:rFonts w:eastAsia="方正小标宋简体"/>
          <w:bCs/>
          <w:sz w:val="44"/>
          <w:szCs w:val="44"/>
        </w:rPr>
        <w:t>“十四五”时期药品安全主要指标统计方法</w:t>
      </w:r>
      <w:bookmarkEnd w:id="93"/>
    </w:p>
    <w:bookmarkEnd w:id="92"/>
    <w:p>
      <w:pPr>
        <w:spacing w:line="590" w:lineRule="exact"/>
        <w:ind w:firstLine="640" w:firstLineChars="200"/>
        <w:rPr>
          <w:szCs w:val="32"/>
        </w:rPr>
      </w:pPr>
    </w:p>
    <w:p>
      <w:pPr>
        <w:spacing w:line="590" w:lineRule="exact"/>
        <w:ind w:firstLine="640" w:firstLineChars="200"/>
        <w:rPr>
          <w:szCs w:val="32"/>
        </w:rPr>
      </w:pPr>
      <w:r>
        <w:rPr>
          <w:rFonts w:eastAsia="黑体"/>
          <w:szCs w:val="32"/>
        </w:rPr>
        <w:t>1</w:t>
      </w:r>
      <w:r>
        <w:rPr>
          <w:rFonts w:hint="eastAsia" w:eastAsia="黑体"/>
          <w:szCs w:val="32"/>
        </w:rPr>
        <w:t xml:space="preserve">. </w:t>
      </w:r>
      <w:r>
        <w:rPr>
          <w:rFonts w:eastAsia="黑体"/>
          <w:szCs w:val="32"/>
        </w:rPr>
        <w:t>药品重点产品追溯落实率</w:t>
      </w:r>
      <w:r>
        <w:rPr>
          <w:szCs w:val="32"/>
        </w:rPr>
        <w:t>：按照国家药监局有关规定，</w:t>
      </w:r>
      <w:bookmarkStart w:id="94" w:name="_Hlk72448035"/>
      <w:r>
        <w:rPr>
          <w:szCs w:val="32"/>
        </w:rPr>
        <w:t>应实施追溯制度的药品中，实际实现可追溯的药品占</w:t>
      </w:r>
      <w:bookmarkEnd w:id="94"/>
      <w:r>
        <w:rPr>
          <w:szCs w:val="32"/>
        </w:rPr>
        <w:t>比。</w:t>
      </w:r>
    </w:p>
    <w:p>
      <w:pPr>
        <w:spacing w:line="590" w:lineRule="exact"/>
        <w:ind w:firstLine="640" w:firstLineChars="200"/>
        <w:rPr>
          <w:szCs w:val="32"/>
        </w:rPr>
      </w:pPr>
      <w:r>
        <w:rPr>
          <w:szCs w:val="32"/>
        </w:rPr>
        <w:t>计算公式：实际实现可追溯的药品产品数量/应实施追溯制度的药品产品数量×100%</w:t>
      </w:r>
    </w:p>
    <w:p>
      <w:pPr>
        <w:spacing w:line="590" w:lineRule="exact"/>
        <w:ind w:firstLine="640" w:firstLineChars="200"/>
        <w:rPr>
          <w:szCs w:val="32"/>
        </w:rPr>
      </w:pPr>
      <w:r>
        <w:rPr>
          <w:rFonts w:eastAsia="黑体"/>
          <w:szCs w:val="32"/>
        </w:rPr>
        <w:t>2</w:t>
      </w:r>
      <w:r>
        <w:rPr>
          <w:rFonts w:hint="eastAsia" w:eastAsia="黑体"/>
          <w:szCs w:val="32"/>
        </w:rPr>
        <w:t xml:space="preserve">. </w:t>
      </w:r>
      <w:r>
        <w:rPr>
          <w:rFonts w:eastAsia="黑体"/>
          <w:szCs w:val="32"/>
        </w:rPr>
        <w:t>医疗器械唯一标识制度实施率</w:t>
      </w:r>
      <w:r>
        <w:rPr>
          <w:szCs w:val="32"/>
        </w:rPr>
        <w:t>：按照国家药监局有关规定，应实施医疗器械唯一标识制度的医疗器械中，实际实施</w:t>
      </w:r>
      <w:bookmarkStart w:id="95" w:name="_Hlk72837757"/>
      <w:r>
        <w:rPr>
          <w:szCs w:val="32"/>
        </w:rPr>
        <w:t>医疗器械唯一标识</w:t>
      </w:r>
      <w:bookmarkEnd w:id="95"/>
      <w:r>
        <w:rPr>
          <w:szCs w:val="32"/>
        </w:rPr>
        <w:t>的医疗器械占比。</w:t>
      </w:r>
    </w:p>
    <w:p>
      <w:pPr>
        <w:spacing w:line="590" w:lineRule="exact"/>
        <w:ind w:firstLine="640" w:firstLineChars="200"/>
        <w:rPr>
          <w:szCs w:val="32"/>
        </w:rPr>
      </w:pPr>
      <w:r>
        <w:rPr>
          <w:szCs w:val="32"/>
        </w:rPr>
        <w:t>计算公式：实际实施医疗器械唯一标识的医疗器械产品数量/应实施医疗器械唯一标识制度的医疗器械产品数量×100%</w:t>
      </w:r>
    </w:p>
    <w:p>
      <w:pPr>
        <w:spacing w:line="590" w:lineRule="exact"/>
        <w:ind w:firstLine="640" w:firstLineChars="200"/>
        <w:rPr>
          <w:szCs w:val="32"/>
        </w:rPr>
      </w:pPr>
      <w:r>
        <w:rPr>
          <w:rFonts w:eastAsia="黑体"/>
          <w:szCs w:val="32"/>
        </w:rPr>
        <w:t>3</w:t>
      </w:r>
      <w:r>
        <w:rPr>
          <w:rFonts w:hint="eastAsia" w:eastAsia="黑体"/>
          <w:szCs w:val="32"/>
        </w:rPr>
        <w:t xml:space="preserve">. </w:t>
      </w:r>
      <w:r>
        <w:rPr>
          <w:rFonts w:eastAsia="黑体"/>
          <w:szCs w:val="32"/>
        </w:rPr>
        <w:t>专职检查员中专业学历背景人员占比</w:t>
      </w:r>
      <w:r>
        <w:rPr>
          <w:szCs w:val="32"/>
        </w:rPr>
        <w:t>：省、市</w:t>
      </w:r>
      <w:bookmarkStart w:id="96" w:name="_Hlk72449580"/>
      <w:r>
        <w:rPr>
          <w:szCs w:val="32"/>
        </w:rPr>
        <w:t>专职药品检查员</w:t>
      </w:r>
      <w:bookmarkEnd w:id="96"/>
      <w:r>
        <w:rPr>
          <w:szCs w:val="32"/>
        </w:rPr>
        <w:t>中，具有药学、医学、化学、生物医学工程、法律及相关专业背景的人员占比。</w:t>
      </w:r>
    </w:p>
    <w:p>
      <w:pPr>
        <w:spacing w:line="590" w:lineRule="exact"/>
        <w:ind w:firstLine="640" w:firstLineChars="200"/>
        <w:rPr>
          <w:szCs w:val="32"/>
        </w:rPr>
      </w:pPr>
      <w:r>
        <w:rPr>
          <w:szCs w:val="32"/>
        </w:rPr>
        <w:t>计算公式：具有药学、医学、化学、生物医学工程、法律及相关专业背景的专职药品检查员数量/省、市专职药品检查员总数×100%</w:t>
      </w:r>
    </w:p>
    <w:p>
      <w:pPr>
        <w:spacing w:line="590" w:lineRule="exact"/>
        <w:ind w:firstLine="640" w:firstLineChars="200"/>
        <w:rPr>
          <w:szCs w:val="32"/>
        </w:rPr>
      </w:pPr>
      <w:r>
        <w:rPr>
          <w:rFonts w:eastAsia="黑体"/>
          <w:szCs w:val="32"/>
        </w:rPr>
        <w:t>4</w:t>
      </w:r>
      <w:r>
        <w:rPr>
          <w:rFonts w:hint="eastAsia" w:eastAsia="黑体"/>
          <w:szCs w:val="32"/>
        </w:rPr>
        <w:t xml:space="preserve">. </w:t>
      </w:r>
      <w:r>
        <w:rPr>
          <w:rFonts w:eastAsia="黑体"/>
          <w:szCs w:val="32"/>
        </w:rPr>
        <w:t>药品检验检测能力达标</w:t>
      </w:r>
      <w:r>
        <w:rPr>
          <w:szCs w:val="32"/>
        </w:rPr>
        <w:t>：对照国家药监局制定的《药品检验检测机构能力建设指导原则》，省、市药品检验检测机构中能力建设层级达到B级（较高能力）、C级（常规能力）的机构数量。</w:t>
      </w:r>
    </w:p>
    <w:p>
      <w:pPr>
        <w:spacing w:line="620" w:lineRule="exact"/>
        <w:ind w:firstLine="640" w:firstLineChars="200"/>
        <w:rPr>
          <w:szCs w:val="32"/>
        </w:rPr>
      </w:pPr>
      <w:r>
        <w:rPr>
          <w:rFonts w:eastAsia="黑体"/>
          <w:szCs w:val="32"/>
        </w:rPr>
        <w:t>5</w:t>
      </w:r>
      <w:bookmarkStart w:id="97" w:name="_Hlk72450021"/>
      <w:r>
        <w:rPr>
          <w:rFonts w:hint="eastAsia" w:eastAsia="黑体"/>
          <w:szCs w:val="32"/>
        </w:rPr>
        <w:t xml:space="preserve">. </w:t>
      </w:r>
      <w:r>
        <w:rPr>
          <w:rFonts w:eastAsia="黑体"/>
          <w:szCs w:val="32"/>
        </w:rPr>
        <w:t>医疗器械CMA认证检验项目</w:t>
      </w:r>
      <w:bookmarkEnd w:id="97"/>
      <w:r>
        <w:rPr>
          <w:szCs w:val="32"/>
        </w:rPr>
        <w:t>：省级医疗器械检验检测机构获得中国检测机构和实验室强制认证（简称“CMA”）的医疗器械检验项目数量。</w:t>
      </w:r>
    </w:p>
    <w:p>
      <w:pPr>
        <w:spacing w:line="620" w:lineRule="exact"/>
        <w:ind w:firstLine="640" w:firstLineChars="200"/>
        <w:rPr>
          <w:szCs w:val="32"/>
        </w:rPr>
      </w:pPr>
      <w:r>
        <w:rPr>
          <w:rFonts w:eastAsia="黑体"/>
          <w:szCs w:val="32"/>
        </w:rPr>
        <w:t>6</w:t>
      </w:r>
      <w:r>
        <w:rPr>
          <w:rFonts w:hint="eastAsia" w:eastAsia="黑体"/>
          <w:szCs w:val="32"/>
        </w:rPr>
        <w:t xml:space="preserve">. </w:t>
      </w:r>
      <w:r>
        <w:rPr>
          <w:rFonts w:eastAsia="黑体"/>
          <w:szCs w:val="32"/>
        </w:rPr>
        <w:t>飞行检查整改完成率</w:t>
      </w:r>
      <w:r>
        <w:rPr>
          <w:szCs w:val="32"/>
        </w:rPr>
        <w:t>：药品监管部门对药品、医疗器械、化妆品生产、经营企业组织开展飞行检查发现存在缺陷的企业中，按要求完成整改的企业占比。</w:t>
      </w:r>
    </w:p>
    <w:p>
      <w:pPr>
        <w:spacing w:line="620" w:lineRule="exact"/>
        <w:ind w:firstLine="640" w:firstLineChars="200"/>
        <w:rPr>
          <w:szCs w:val="32"/>
        </w:rPr>
      </w:pPr>
      <w:r>
        <w:rPr>
          <w:szCs w:val="32"/>
        </w:rPr>
        <w:t>计算公式：按要求完成整改企业家数/飞行检查发现存在缺陷企业家数×100%</w:t>
      </w:r>
    </w:p>
    <w:p>
      <w:pPr>
        <w:spacing w:line="620" w:lineRule="exact"/>
        <w:ind w:firstLine="640" w:firstLineChars="200"/>
        <w:rPr>
          <w:szCs w:val="32"/>
        </w:rPr>
      </w:pPr>
      <w:r>
        <w:rPr>
          <w:rFonts w:eastAsia="黑体"/>
          <w:szCs w:val="32"/>
        </w:rPr>
        <w:t>7</w:t>
      </w:r>
      <w:r>
        <w:rPr>
          <w:rFonts w:hint="eastAsia" w:eastAsia="黑体"/>
          <w:szCs w:val="32"/>
        </w:rPr>
        <w:t xml:space="preserve">. </w:t>
      </w:r>
      <w:r>
        <w:rPr>
          <w:rFonts w:eastAsia="黑体"/>
          <w:szCs w:val="32"/>
        </w:rPr>
        <w:t>监督检查发现问题处置率</w:t>
      </w:r>
      <w:r>
        <w:rPr>
          <w:szCs w:val="32"/>
        </w:rPr>
        <w:t>：药品监管部门对药品、医疗器械、化妆品临床试验（功效评价）机构、生产、经营单位进行</w:t>
      </w:r>
      <w:bookmarkStart w:id="98" w:name="_Hlk72451071"/>
      <w:r>
        <w:rPr>
          <w:szCs w:val="32"/>
        </w:rPr>
        <w:t>监督检查发现的违法违规问题</w:t>
      </w:r>
      <w:bookmarkEnd w:id="98"/>
      <w:r>
        <w:rPr>
          <w:szCs w:val="32"/>
        </w:rPr>
        <w:t>中，进行处置（行政处罚、约谈等）的问题占比。</w:t>
      </w:r>
    </w:p>
    <w:p>
      <w:pPr>
        <w:spacing w:line="620" w:lineRule="exact"/>
        <w:ind w:firstLine="640" w:firstLineChars="200"/>
        <w:rPr>
          <w:szCs w:val="32"/>
        </w:rPr>
      </w:pPr>
      <w:r>
        <w:rPr>
          <w:szCs w:val="32"/>
        </w:rPr>
        <w:t>计算公式：实际处置的监督检查发现问题数量/监督检查发现的违法违规问题总数×100%</w:t>
      </w:r>
    </w:p>
    <w:p>
      <w:pPr>
        <w:spacing w:line="620" w:lineRule="exact"/>
        <w:ind w:firstLine="640" w:firstLineChars="200"/>
        <w:rPr>
          <w:szCs w:val="32"/>
        </w:rPr>
      </w:pPr>
      <w:r>
        <w:rPr>
          <w:rFonts w:eastAsia="黑体"/>
          <w:szCs w:val="32"/>
        </w:rPr>
        <w:t>8</w:t>
      </w:r>
      <w:bookmarkStart w:id="99" w:name="_Hlk72451150"/>
      <w:r>
        <w:rPr>
          <w:rFonts w:hint="eastAsia" w:eastAsia="黑体"/>
          <w:szCs w:val="32"/>
        </w:rPr>
        <w:t xml:space="preserve">. </w:t>
      </w:r>
      <w:r>
        <w:rPr>
          <w:rFonts w:eastAsia="黑体"/>
          <w:szCs w:val="32"/>
        </w:rPr>
        <w:t>药品医疗器械化妆品生产企业</w:t>
      </w:r>
      <w:bookmarkEnd w:id="99"/>
      <w:r>
        <w:rPr>
          <w:rFonts w:eastAsia="黑体"/>
          <w:szCs w:val="32"/>
        </w:rPr>
        <w:t>质量</w:t>
      </w:r>
      <w:bookmarkStart w:id="100" w:name="_Hlk72451205"/>
      <w:r>
        <w:rPr>
          <w:rFonts w:eastAsia="黑体"/>
          <w:szCs w:val="32"/>
        </w:rPr>
        <w:t>安全信用等级管理</w:t>
      </w:r>
      <w:bookmarkEnd w:id="100"/>
      <w:r>
        <w:rPr>
          <w:rFonts w:eastAsia="黑体"/>
          <w:szCs w:val="32"/>
        </w:rPr>
        <w:t>覆盖率</w:t>
      </w:r>
      <w:r>
        <w:rPr>
          <w:szCs w:val="32"/>
        </w:rPr>
        <w:t>：全省</w:t>
      </w:r>
      <w:bookmarkStart w:id="101" w:name="_Hlk73293275"/>
      <w:r>
        <w:rPr>
          <w:szCs w:val="32"/>
        </w:rPr>
        <w:t>药品、医疗器械、化妆品生产</w:t>
      </w:r>
      <w:bookmarkEnd w:id="101"/>
      <w:r>
        <w:rPr>
          <w:szCs w:val="32"/>
        </w:rPr>
        <w:t>企业中，实施</w:t>
      </w:r>
      <w:bookmarkStart w:id="102" w:name="_Hlk72451285"/>
      <w:r>
        <w:rPr>
          <w:szCs w:val="32"/>
        </w:rPr>
        <w:t>质量安全信用等级管理的企业</w:t>
      </w:r>
      <w:bookmarkEnd w:id="102"/>
      <w:r>
        <w:rPr>
          <w:szCs w:val="32"/>
        </w:rPr>
        <w:t>占比。</w:t>
      </w:r>
    </w:p>
    <w:p>
      <w:pPr>
        <w:spacing w:line="620" w:lineRule="exact"/>
        <w:ind w:firstLine="640" w:firstLineChars="200"/>
        <w:rPr>
          <w:szCs w:val="32"/>
        </w:rPr>
      </w:pPr>
      <w:r>
        <w:rPr>
          <w:szCs w:val="32"/>
        </w:rPr>
        <w:t>计算公式：实际实施质量安全信用等级管理的药品、医疗器械、化妆品生产企业数量/全省药品、医疗器械、化妆品生产企业总数×100%</w:t>
      </w:r>
    </w:p>
    <w:p>
      <w:pPr>
        <w:spacing w:line="590" w:lineRule="exact"/>
        <w:ind w:firstLine="640" w:firstLineChars="200"/>
        <w:rPr>
          <w:szCs w:val="32"/>
        </w:rPr>
      </w:pPr>
      <w:r>
        <w:rPr>
          <w:rFonts w:eastAsia="黑体"/>
          <w:szCs w:val="32"/>
        </w:rPr>
        <w:t>9</w:t>
      </w:r>
      <w:r>
        <w:rPr>
          <w:rFonts w:hint="eastAsia" w:eastAsia="黑体"/>
          <w:szCs w:val="32"/>
        </w:rPr>
        <w:t xml:space="preserve">. </w:t>
      </w:r>
      <w:r>
        <w:rPr>
          <w:rFonts w:eastAsia="黑体"/>
          <w:szCs w:val="32"/>
        </w:rPr>
        <w:t>药品医疗器械经营企业质量安全信用等级管理覆盖率</w:t>
      </w:r>
      <w:r>
        <w:rPr>
          <w:szCs w:val="32"/>
        </w:rPr>
        <w:t>：全省药品和</w:t>
      </w:r>
      <w:bookmarkStart w:id="103" w:name="_Hlk73293158"/>
      <w:r>
        <w:rPr>
          <w:szCs w:val="32"/>
        </w:rPr>
        <w:t>第二、三类</w:t>
      </w:r>
      <w:bookmarkEnd w:id="103"/>
      <w:r>
        <w:rPr>
          <w:szCs w:val="32"/>
        </w:rPr>
        <w:t>医疗器械经营企业中，</w:t>
      </w:r>
      <w:bookmarkStart w:id="104" w:name="_Hlk72451429"/>
      <w:r>
        <w:rPr>
          <w:szCs w:val="32"/>
        </w:rPr>
        <w:t>实施质量安全信用等级管理的企业</w:t>
      </w:r>
      <w:bookmarkEnd w:id="104"/>
      <w:r>
        <w:rPr>
          <w:szCs w:val="32"/>
        </w:rPr>
        <w:t>占比。</w:t>
      </w:r>
    </w:p>
    <w:p>
      <w:pPr>
        <w:spacing w:line="590" w:lineRule="exact"/>
        <w:ind w:firstLine="640" w:firstLineChars="200"/>
        <w:rPr>
          <w:szCs w:val="32"/>
        </w:rPr>
      </w:pPr>
      <w:r>
        <w:rPr>
          <w:szCs w:val="32"/>
        </w:rPr>
        <w:t>计算公式：实际实施质量安全信用等级管理的药品和第二、三类医疗器械经营企业数量/全省药品、第二、三类医疗器械经营企业总数×100%</w:t>
      </w:r>
    </w:p>
    <w:p>
      <w:pPr>
        <w:spacing w:line="590" w:lineRule="exact"/>
        <w:ind w:firstLine="640" w:firstLineChars="200"/>
        <w:rPr>
          <w:szCs w:val="32"/>
        </w:rPr>
      </w:pPr>
      <w:r>
        <w:rPr>
          <w:rFonts w:eastAsia="黑体"/>
          <w:szCs w:val="32"/>
        </w:rPr>
        <w:t>10</w:t>
      </w:r>
      <w:bookmarkStart w:id="105" w:name="_Hlk72451892"/>
      <w:r>
        <w:rPr>
          <w:rFonts w:hint="eastAsia" w:eastAsia="黑体"/>
          <w:szCs w:val="32"/>
        </w:rPr>
        <w:t xml:space="preserve">. </w:t>
      </w:r>
      <w:r>
        <w:rPr>
          <w:rFonts w:eastAsia="黑体"/>
          <w:szCs w:val="32"/>
        </w:rPr>
        <w:t>基本药物、集采品种</w:t>
      </w:r>
      <w:bookmarkEnd w:id="105"/>
      <w:r>
        <w:rPr>
          <w:rFonts w:eastAsia="黑体"/>
          <w:szCs w:val="32"/>
        </w:rPr>
        <w:t>抽检合格率</w:t>
      </w:r>
      <w:r>
        <w:rPr>
          <w:szCs w:val="32"/>
        </w:rPr>
        <w:t>：省级药品抽检中，列入基本药品专项和集采品种专项的药品抽检合格率。</w:t>
      </w:r>
    </w:p>
    <w:p>
      <w:pPr>
        <w:spacing w:line="590" w:lineRule="exact"/>
        <w:ind w:firstLine="640" w:firstLineChars="200"/>
        <w:rPr>
          <w:szCs w:val="32"/>
        </w:rPr>
      </w:pPr>
      <w:r>
        <w:rPr>
          <w:szCs w:val="32"/>
        </w:rPr>
        <w:t>计算公式：抽检合格的基本药物、集采品种药品批次数/该专项抽检药品总批次数×100%</w:t>
      </w:r>
    </w:p>
    <w:p>
      <w:pPr>
        <w:spacing w:line="590" w:lineRule="exact"/>
        <w:ind w:firstLine="640" w:firstLineChars="200"/>
        <w:rPr>
          <w:szCs w:val="32"/>
        </w:rPr>
      </w:pPr>
      <w:r>
        <w:rPr>
          <w:rFonts w:eastAsia="黑体"/>
          <w:szCs w:val="32"/>
        </w:rPr>
        <w:t>11</w:t>
      </w:r>
      <w:r>
        <w:rPr>
          <w:rFonts w:hint="eastAsia" w:eastAsia="黑体"/>
          <w:szCs w:val="32"/>
        </w:rPr>
        <w:t xml:space="preserve">. </w:t>
      </w:r>
      <w:r>
        <w:rPr>
          <w:rFonts w:eastAsia="黑体"/>
          <w:szCs w:val="32"/>
        </w:rPr>
        <w:t>药品不良反应报告数</w:t>
      </w:r>
      <w:r>
        <w:rPr>
          <w:szCs w:val="32"/>
        </w:rPr>
        <w:t>：省药品化妆品审评中心收到的</w:t>
      </w:r>
      <w:bookmarkStart w:id="106" w:name="_Hlk72452343"/>
      <w:r>
        <w:rPr>
          <w:szCs w:val="32"/>
        </w:rPr>
        <w:t>药品不良反应报告</w:t>
      </w:r>
      <w:bookmarkEnd w:id="106"/>
      <w:r>
        <w:rPr>
          <w:szCs w:val="32"/>
        </w:rPr>
        <w:t>数量，按照每百万常住人口计算的平均报告数。</w:t>
      </w:r>
    </w:p>
    <w:p>
      <w:pPr>
        <w:spacing w:line="590" w:lineRule="exact"/>
        <w:ind w:firstLine="640" w:firstLineChars="200"/>
        <w:rPr>
          <w:szCs w:val="32"/>
        </w:rPr>
      </w:pPr>
      <w:r>
        <w:rPr>
          <w:szCs w:val="32"/>
        </w:rPr>
        <w:t>计算公式：药品不良反应报告数量/全省常住人口数×1000000</w:t>
      </w:r>
    </w:p>
    <w:p>
      <w:pPr>
        <w:spacing w:line="590" w:lineRule="exact"/>
        <w:ind w:firstLine="640" w:firstLineChars="200"/>
        <w:rPr>
          <w:szCs w:val="32"/>
        </w:rPr>
      </w:pPr>
      <w:r>
        <w:rPr>
          <w:rFonts w:eastAsia="黑体"/>
          <w:szCs w:val="32"/>
        </w:rPr>
        <w:t>12</w:t>
      </w:r>
      <w:r>
        <w:rPr>
          <w:rFonts w:hint="eastAsia" w:eastAsia="黑体"/>
          <w:szCs w:val="32"/>
        </w:rPr>
        <w:t xml:space="preserve">. </w:t>
      </w:r>
      <w:r>
        <w:rPr>
          <w:rFonts w:eastAsia="黑体"/>
          <w:szCs w:val="32"/>
        </w:rPr>
        <w:t>医疗器械不良事件报告数</w:t>
      </w:r>
      <w:r>
        <w:rPr>
          <w:szCs w:val="32"/>
        </w:rPr>
        <w:t>：省医疗器械审评中心收到的医疗器械不良事件报告数量，按照每百万常住人口计算的平均报告数。</w:t>
      </w:r>
    </w:p>
    <w:p>
      <w:pPr>
        <w:spacing w:line="590" w:lineRule="exact"/>
        <w:ind w:firstLine="640" w:firstLineChars="200"/>
        <w:rPr>
          <w:szCs w:val="32"/>
        </w:rPr>
      </w:pPr>
      <w:r>
        <w:rPr>
          <w:szCs w:val="32"/>
        </w:rPr>
        <w:t>计算公式：医疗器械不良事件报告数量/全省常住人口数×1000000</w:t>
      </w:r>
    </w:p>
    <w:p>
      <w:pPr>
        <w:spacing w:line="590" w:lineRule="exact"/>
        <w:ind w:firstLine="640" w:firstLineChars="200"/>
        <w:rPr>
          <w:szCs w:val="32"/>
        </w:rPr>
      </w:pPr>
      <w:r>
        <w:rPr>
          <w:rFonts w:eastAsia="黑体"/>
          <w:szCs w:val="32"/>
        </w:rPr>
        <w:t>13</w:t>
      </w:r>
      <w:r>
        <w:rPr>
          <w:rFonts w:hint="eastAsia" w:eastAsia="黑体"/>
          <w:szCs w:val="32"/>
        </w:rPr>
        <w:t xml:space="preserve">. </w:t>
      </w:r>
      <w:r>
        <w:rPr>
          <w:rFonts w:eastAsia="黑体"/>
          <w:spacing w:val="4"/>
          <w:szCs w:val="32"/>
        </w:rPr>
        <w:t>化妆品不良反应报告数</w:t>
      </w:r>
      <w:r>
        <w:rPr>
          <w:spacing w:val="4"/>
          <w:szCs w:val="32"/>
        </w:rPr>
        <w:t>：省药品化妆品审评中心收到的化妆品不良反应报告数量，按照每百万常住人口计算的平均报告数。</w:t>
      </w:r>
    </w:p>
    <w:p>
      <w:pPr>
        <w:spacing w:line="565" w:lineRule="exact"/>
        <w:ind w:firstLine="640" w:firstLineChars="200"/>
        <w:rPr>
          <w:szCs w:val="32"/>
        </w:rPr>
      </w:pPr>
      <w:r>
        <w:rPr>
          <w:szCs w:val="32"/>
        </w:rPr>
        <w:t>计算公式：化妆品不良反应报告数量/全省常住人口数×1000000</w:t>
      </w:r>
    </w:p>
    <w:p>
      <w:pPr>
        <w:spacing w:line="565" w:lineRule="exact"/>
        <w:ind w:firstLine="640" w:firstLineChars="200"/>
        <w:rPr>
          <w:szCs w:val="32"/>
        </w:rPr>
      </w:pPr>
      <w:r>
        <w:rPr>
          <w:rFonts w:eastAsia="黑体"/>
          <w:szCs w:val="32"/>
        </w:rPr>
        <w:t>14</w:t>
      </w:r>
      <w:r>
        <w:rPr>
          <w:rFonts w:hint="eastAsia" w:eastAsia="黑体"/>
          <w:szCs w:val="32"/>
        </w:rPr>
        <w:t xml:space="preserve">. </w:t>
      </w:r>
      <w:r>
        <w:rPr>
          <w:rFonts w:eastAsia="黑体"/>
          <w:szCs w:val="32"/>
        </w:rPr>
        <w:t>申报创新药</w:t>
      </w:r>
      <w:r>
        <w:rPr>
          <w:szCs w:val="32"/>
        </w:rPr>
        <w:t>：我省企业或者药品研制机构等依照法定程序和相关要求，向国家药监局提出创新药品申请临床或投放市场，且被国家药监局受理的创新药数量（品规）。</w:t>
      </w:r>
    </w:p>
    <w:p>
      <w:pPr>
        <w:spacing w:line="565" w:lineRule="exact"/>
        <w:ind w:firstLine="640" w:firstLineChars="200"/>
        <w:rPr>
          <w:szCs w:val="32"/>
        </w:rPr>
      </w:pPr>
      <w:r>
        <w:rPr>
          <w:rFonts w:eastAsia="黑体"/>
          <w:szCs w:val="32"/>
        </w:rPr>
        <w:t>15</w:t>
      </w:r>
      <w:r>
        <w:rPr>
          <w:rFonts w:hint="eastAsia" w:eastAsia="黑体"/>
          <w:szCs w:val="32"/>
        </w:rPr>
        <w:t xml:space="preserve">. </w:t>
      </w:r>
      <w:r>
        <w:rPr>
          <w:rFonts w:eastAsia="黑体"/>
          <w:szCs w:val="32"/>
        </w:rPr>
        <w:t>培育创新医疗器械</w:t>
      </w:r>
      <w:r>
        <w:rPr>
          <w:szCs w:val="32"/>
        </w:rPr>
        <w:t>：我省企业或者医疗器械研制机构依照法定程序和相关要求申报的，进入国家药监局创新医疗器械特别审批程序、省药监局第二类创新医疗器械特别审批程序的创新医疗器械数量。</w:t>
      </w:r>
    </w:p>
    <w:p>
      <w:pPr>
        <w:spacing w:line="565" w:lineRule="exact"/>
        <w:ind w:firstLine="640" w:firstLineChars="200"/>
        <w:rPr>
          <w:szCs w:val="32"/>
        </w:rPr>
      </w:pPr>
      <w:r>
        <w:rPr>
          <w:rFonts w:eastAsia="黑体"/>
          <w:szCs w:val="32"/>
        </w:rPr>
        <w:t>16</w:t>
      </w:r>
      <w:r>
        <w:rPr>
          <w:rFonts w:hint="eastAsia" w:eastAsia="黑体"/>
          <w:szCs w:val="32"/>
        </w:rPr>
        <w:t xml:space="preserve">. </w:t>
      </w:r>
      <w:r>
        <w:rPr>
          <w:rFonts w:eastAsia="黑体"/>
          <w:szCs w:val="32"/>
        </w:rPr>
        <w:t>申报仿制药质量和疗效一致性评价</w:t>
      </w:r>
      <w:r>
        <w:rPr>
          <w:szCs w:val="32"/>
        </w:rPr>
        <w:t>：我省药品上市许可持有人向国家药监局申报仿制药质量和疗效一致性评价，且被国家药监局受理的仿制药数量（品规）。</w:t>
      </w:r>
    </w:p>
    <w:p>
      <w:pPr>
        <w:spacing w:line="565" w:lineRule="exact"/>
        <w:ind w:firstLine="640" w:firstLineChars="200"/>
        <w:rPr>
          <w:szCs w:val="32"/>
        </w:rPr>
      </w:pPr>
      <w:r>
        <w:rPr>
          <w:rFonts w:eastAsia="黑体"/>
          <w:szCs w:val="32"/>
        </w:rPr>
        <w:t>17</w:t>
      </w:r>
      <w:r>
        <w:rPr>
          <w:rFonts w:hint="eastAsia" w:eastAsia="黑体"/>
          <w:szCs w:val="32"/>
        </w:rPr>
        <w:t xml:space="preserve">. </w:t>
      </w:r>
      <w:r>
        <w:rPr>
          <w:rFonts w:eastAsia="黑体"/>
          <w:szCs w:val="32"/>
        </w:rPr>
        <w:t>制修订药品医疗器械化妆品标准</w:t>
      </w:r>
      <w:r>
        <w:rPr>
          <w:szCs w:val="32"/>
        </w:rPr>
        <w:t>：我省药品、医疗器械、化妆品检验研究机构牵头制订、修订、复核的药品、医疗器械、化妆品国家标准、行业标准、团体标准数量。</w:t>
      </w:r>
    </w:p>
    <w:p>
      <w:pPr>
        <w:spacing w:line="565" w:lineRule="exact"/>
        <w:ind w:firstLine="640" w:firstLineChars="200"/>
        <w:rPr>
          <w:szCs w:val="32"/>
        </w:rPr>
      </w:pPr>
      <w:r>
        <w:rPr>
          <w:rFonts w:eastAsia="黑体"/>
          <w:szCs w:val="32"/>
        </w:rPr>
        <w:t>18</w:t>
      </w:r>
      <w:r>
        <w:rPr>
          <w:rFonts w:hint="eastAsia" w:eastAsia="黑体"/>
          <w:szCs w:val="32"/>
        </w:rPr>
        <w:t xml:space="preserve">. </w:t>
      </w:r>
      <w:r>
        <w:rPr>
          <w:rFonts w:eastAsia="黑体"/>
          <w:szCs w:val="32"/>
        </w:rPr>
        <w:t>公众药品安全满意度</w:t>
      </w:r>
      <w:r>
        <w:rPr>
          <w:szCs w:val="32"/>
        </w:rPr>
        <w:t>：由第三方统计调查机构，根据随机抽样原理，采用CATI（计算机辅助电话调查）等方式，在全省范围内开展药品安全群众满意度调查，综合计算得出药品安全满意度。</w:t>
      </w:r>
    </w:p>
    <w:p>
      <w:pPr>
        <w:spacing w:line="565" w:lineRule="exact"/>
        <w:ind w:firstLine="640" w:firstLineChars="200"/>
        <w:rPr>
          <w:szCs w:val="32"/>
        </w:rPr>
      </w:pPr>
      <w:r>
        <w:rPr>
          <w:rFonts w:eastAsia="黑体"/>
          <w:szCs w:val="32"/>
        </w:rPr>
        <w:t>19</w:t>
      </w:r>
      <w:r>
        <w:rPr>
          <w:rFonts w:hint="eastAsia" w:eastAsia="黑体"/>
          <w:szCs w:val="32"/>
        </w:rPr>
        <w:t xml:space="preserve">. </w:t>
      </w:r>
      <w:r>
        <w:rPr>
          <w:rFonts w:eastAsia="黑体"/>
          <w:szCs w:val="32"/>
        </w:rPr>
        <w:t>重大及以上药品安全事件</w:t>
      </w:r>
      <w:r>
        <w:rPr>
          <w:szCs w:val="32"/>
        </w:rPr>
        <w:t>：根据《浙江省药品安全事件应急预案》《浙江省化妆品安全突发事件应急预案》确定的事件分级，确保不发生特别重大药品（医疗器械、化妆品）安全事件、重大药品（医疗器械、化妆品）安全事件。</w:t>
      </w:r>
    </w:p>
    <w:p>
      <w:pPr>
        <w:spacing w:line="590" w:lineRule="exact"/>
        <w:rPr>
          <w:rFonts w:hint="eastAsia" w:eastAsia="黑体"/>
          <w:szCs w:val="32"/>
        </w:rPr>
      </w:pPr>
      <w:r>
        <w:rPr>
          <w:rFonts w:eastAsia="黑体"/>
          <w:szCs w:val="32"/>
        </w:rPr>
        <w:br w:type="column"/>
      </w:r>
      <w:r>
        <w:rPr>
          <w:rFonts w:eastAsia="黑体"/>
          <w:szCs w:val="32"/>
        </w:rPr>
        <w:t>附件3</w:t>
      </w:r>
      <w:bookmarkStart w:id="107" w:name="_Toc73266787"/>
    </w:p>
    <w:p>
      <w:pPr>
        <w:spacing w:line="590" w:lineRule="exact"/>
        <w:rPr>
          <w:rFonts w:hint="eastAsia" w:eastAsia="黑体"/>
          <w:szCs w:val="32"/>
        </w:rPr>
      </w:pPr>
    </w:p>
    <w:p>
      <w:pPr>
        <w:spacing w:line="590" w:lineRule="exact"/>
        <w:jc w:val="center"/>
        <w:rPr>
          <w:sz w:val="44"/>
          <w:szCs w:val="44"/>
        </w:rPr>
      </w:pPr>
      <w:r>
        <w:rPr>
          <w:rFonts w:eastAsia="方正小标宋简体"/>
          <w:bCs/>
          <w:sz w:val="44"/>
          <w:szCs w:val="44"/>
        </w:rPr>
        <w:t>名</w:t>
      </w:r>
      <w:r>
        <w:rPr>
          <w:rFonts w:hint="eastAsia" w:eastAsia="方正小标宋简体"/>
          <w:bCs/>
          <w:sz w:val="44"/>
          <w:szCs w:val="44"/>
        </w:rPr>
        <w:t xml:space="preserve">  </w:t>
      </w:r>
      <w:r>
        <w:rPr>
          <w:rFonts w:eastAsia="方正小标宋简体"/>
          <w:bCs/>
          <w:sz w:val="44"/>
          <w:szCs w:val="44"/>
        </w:rPr>
        <w:t>词</w:t>
      </w:r>
      <w:r>
        <w:rPr>
          <w:rFonts w:hint="eastAsia" w:eastAsia="方正小标宋简体"/>
          <w:bCs/>
          <w:sz w:val="44"/>
          <w:szCs w:val="44"/>
        </w:rPr>
        <w:t xml:space="preserve">  </w:t>
      </w:r>
      <w:r>
        <w:rPr>
          <w:rFonts w:eastAsia="方正小标宋简体"/>
          <w:bCs/>
          <w:sz w:val="44"/>
          <w:szCs w:val="44"/>
        </w:rPr>
        <w:t>解</w:t>
      </w:r>
      <w:r>
        <w:rPr>
          <w:rFonts w:hint="eastAsia" w:eastAsia="方正小标宋简体"/>
          <w:bCs/>
          <w:sz w:val="44"/>
          <w:szCs w:val="44"/>
        </w:rPr>
        <w:t xml:space="preserve">  </w:t>
      </w:r>
      <w:r>
        <w:rPr>
          <w:rFonts w:eastAsia="方正小标宋简体"/>
          <w:bCs/>
          <w:sz w:val="44"/>
          <w:szCs w:val="44"/>
        </w:rPr>
        <w:t>释</w:t>
      </w:r>
      <w:bookmarkEnd w:id="107"/>
    </w:p>
    <w:p>
      <w:pPr>
        <w:spacing w:line="590" w:lineRule="exact"/>
        <w:ind w:firstLine="640" w:firstLineChars="200"/>
        <w:rPr>
          <w:szCs w:val="32"/>
        </w:rPr>
      </w:pPr>
    </w:p>
    <w:p>
      <w:pPr>
        <w:spacing w:line="590" w:lineRule="exact"/>
        <w:ind w:firstLine="640" w:firstLineChars="200"/>
        <w:rPr>
          <w:szCs w:val="32"/>
        </w:rPr>
      </w:pPr>
      <w:r>
        <w:rPr>
          <w:rFonts w:eastAsia="黑体"/>
          <w:szCs w:val="32"/>
        </w:rPr>
        <w:t>1</w:t>
      </w:r>
      <w:r>
        <w:rPr>
          <w:rFonts w:hint="eastAsia" w:eastAsia="黑体"/>
          <w:szCs w:val="32"/>
        </w:rPr>
        <w:t xml:space="preserve">. </w:t>
      </w:r>
      <w:r>
        <w:rPr>
          <w:rFonts w:eastAsia="黑体"/>
          <w:szCs w:val="32"/>
        </w:rPr>
        <w:t>“四个最严”</w:t>
      </w:r>
      <w:r>
        <w:rPr>
          <w:szCs w:val="32"/>
        </w:rPr>
        <w:t>：2015年5月29日，中央政治局就健全公共安全体系进行第二十三次集体学习，习近平总书记在主持学习时强调，要切实加强食品药品安全监管，用最严谨的标准、最严格的监管、最严厉的处罚、最严肃的问责，加快建立科学完善的食品药品安全治理体系，坚持产管并重，严把从农田到餐桌、从实验室到医院的每一道防线。</w:t>
      </w:r>
    </w:p>
    <w:p>
      <w:pPr>
        <w:spacing w:line="590" w:lineRule="exact"/>
        <w:ind w:firstLine="640" w:firstLineChars="200"/>
        <w:rPr>
          <w:szCs w:val="32"/>
        </w:rPr>
      </w:pPr>
      <w:r>
        <w:rPr>
          <w:rFonts w:eastAsia="黑体"/>
          <w:szCs w:val="32"/>
        </w:rPr>
        <w:t>2</w:t>
      </w:r>
      <w:r>
        <w:rPr>
          <w:rFonts w:hint="eastAsia" w:eastAsia="黑体"/>
          <w:szCs w:val="32"/>
        </w:rPr>
        <w:t xml:space="preserve">. </w:t>
      </w:r>
      <w:r>
        <w:rPr>
          <w:rFonts w:eastAsia="黑体"/>
          <w:szCs w:val="32"/>
        </w:rPr>
        <w:t>飞行检查</w:t>
      </w:r>
      <w:r>
        <w:rPr>
          <w:szCs w:val="32"/>
        </w:rPr>
        <w:t>：监督检查的一种形式，在事先不通知被检查对象的情况下实施的现场检查。</w:t>
      </w:r>
    </w:p>
    <w:p>
      <w:pPr>
        <w:spacing w:line="590" w:lineRule="exact"/>
        <w:ind w:firstLine="640" w:firstLineChars="200"/>
        <w:rPr>
          <w:szCs w:val="32"/>
        </w:rPr>
      </w:pPr>
      <w:r>
        <w:rPr>
          <w:rFonts w:eastAsia="黑体"/>
          <w:szCs w:val="32"/>
        </w:rPr>
        <w:t>3</w:t>
      </w:r>
      <w:r>
        <w:rPr>
          <w:rFonts w:hint="eastAsia" w:eastAsia="黑体"/>
          <w:szCs w:val="32"/>
        </w:rPr>
        <w:t xml:space="preserve">. </w:t>
      </w:r>
      <w:r>
        <w:rPr>
          <w:rFonts w:eastAsia="黑体"/>
          <w:szCs w:val="32"/>
        </w:rPr>
        <w:t>药品上市许可持有人</w:t>
      </w:r>
      <w:r>
        <w:rPr>
          <w:szCs w:val="32"/>
        </w:rPr>
        <w:t>：取得药品注册证书的企业或者药品研制机构等。</w:t>
      </w:r>
    </w:p>
    <w:p>
      <w:pPr>
        <w:spacing w:line="590" w:lineRule="exact"/>
        <w:ind w:firstLine="640" w:firstLineChars="200"/>
        <w:rPr>
          <w:szCs w:val="32"/>
        </w:rPr>
      </w:pPr>
      <w:r>
        <w:rPr>
          <w:rFonts w:eastAsia="黑体"/>
          <w:szCs w:val="32"/>
        </w:rPr>
        <w:t>4</w:t>
      </w:r>
      <w:r>
        <w:rPr>
          <w:rFonts w:hint="eastAsia" w:eastAsia="黑体"/>
          <w:szCs w:val="32"/>
        </w:rPr>
        <w:t xml:space="preserve">. </w:t>
      </w:r>
      <w:r>
        <w:rPr>
          <w:rFonts w:eastAsia="黑体"/>
          <w:szCs w:val="32"/>
        </w:rPr>
        <w:t>医疗器械注册人、备案人</w:t>
      </w:r>
      <w:r>
        <w:rPr>
          <w:szCs w:val="32"/>
        </w:rPr>
        <w:t>：取得医疗器械注册证或者办理医疗器械备案的企业或者研制机构。</w:t>
      </w:r>
    </w:p>
    <w:p>
      <w:pPr>
        <w:spacing w:line="590" w:lineRule="exact"/>
        <w:ind w:firstLine="640" w:firstLineChars="200"/>
        <w:rPr>
          <w:szCs w:val="32"/>
        </w:rPr>
      </w:pPr>
      <w:r>
        <w:rPr>
          <w:rFonts w:eastAsia="黑体"/>
          <w:szCs w:val="32"/>
        </w:rPr>
        <w:t>5</w:t>
      </w:r>
      <w:r>
        <w:rPr>
          <w:rFonts w:hint="eastAsia" w:eastAsia="黑体"/>
          <w:szCs w:val="32"/>
        </w:rPr>
        <w:t xml:space="preserve">. </w:t>
      </w:r>
      <w:r>
        <w:rPr>
          <w:rFonts w:eastAsia="黑体"/>
          <w:szCs w:val="32"/>
        </w:rPr>
        <w:t>仿制药质量和疗效一致性评价</w:t>
      </w:r>
      <w:r>
        <w:rPr>
          <w:szCs w:val="32"/>
        </w:rPr>
        <w:t>：化学药品新注册分类实施前批准上市的仿制药，按与原研药品质量和疗效一致的原则，开展一致性评价。</w:t>
      </w:r>
    </w:p>
    <w:p>
      <w:pPr>
        <w:spacing w:line="590" w:lineRule="exact"/>
        <w:ind w:firstLine="640" w:firstLineChars="200"/>
        <w:rPr>
          <w:szCs w:val="32"/>
        </w:rPr>
      </w:pPr>
      <w:r>
        <w:rPr>
          <w:rFonts w:eastAsia="黑体"/>
          <w:szCs w:val="32"/>
        </w:rPr>
        <w:t>6</w:t>
      </w:r>
      <w:r>
        <w:rPr>
          <w:rFonts w:hint="eastAsia" w:eastAsia="黑体"/>
          <w:szCs w:val="32"/>
        </w:rPr>
        <w:t xml:space="preserve">. </w:t>
      </w:r>
      <w:r>
        <w:rPr>
          <w:rFonts w:eastAsia="黑体"/>
          <w:szCs w:val="32"/>
        </w:rPr>
        <w:t>“双百尖兵”工程</w:t>
      </w:r>
      <w:r>
        <w:rPr>
          <w:szCs w:val="32"/>
        </w:rPr>
        <w:t>：根据国务院办公厅《关于建立职业化专业化药品检查员队伍的意见》精神，为全面提升药品检查员专业素质和检查能力，建立一支政治过硬、素质优良、业务精湛、廉洁高效的职业化专业化药品检查员队伍，实施职业检查“双百尖兵”工程三年计划，即利用3年时间，培养200名优秀检查组长。</w:t>
      </w:r>
    </w:p>
    <w:p>
      <w:pPr>
        <w:spacing w:line="590" w:lineRule="exact"/>
        <w:ind w:firstLine="640" w:firstLineChars="200"/>
        <w:rPr>
          <w:szCs w:val="32"/>
        </w:rPr>
      </w:pPr>
      <w:r>
        <w:rPr>
          <w:rFonts w:eastAsia="黑体"/>
          <w:szCs w:val="32"/>
        </w:rPr>
        <w:t>7</w:t>
      </w:r>
      <w:r>
        <w:rPr>
          <w:rFonts w:hint="eastAsia" w:eastAsia="黑体"/>
          <w:szCs w:val="32"/>
        </w:rPr>
        <w:t xml:space="preserve">. </w:t>
      </w:r>
      <w:r>
        <w:rPr>
          <w:rFonts w:eastAsia="黑体"/>
          <w:szCs w:val="32"/>
        </w:rPr>
        <w:t>“四高地两区一家园”</w:t>
      </w:r>
      <w:r>
        <w:rPr>
          <w:szCs w:val="32"/>
        </w:rPr>
        <w:t>：《浙江省国民经济和社会发展第十四个五年规划和</w:t>
      </w:r>
      <w:r>
        <w:rPr>
          <w:rFonts w:hint="eastAsia" w:ascii="仿宋_GB2312"/>
          <w:szCs w:val="32"/>
        </w:rPr>
        <w:t>二○三</w:t>
      </w:r>
      <w:r>
        <w:rPr>
          <w:szCs w:val="32"/>
        </w:rPr>
        <w:t>五年远景目标纲要》确定的“十四五”时期经济社会发展主要目标，具体指努力打造经济高质量发展高地、三大科创高地、改革开放新高地、新时代文化高地、美丽中国先行示范区、省域现代治理先行示范区、人民幸福美好家园。</w:t>
      </w:r>
    </w:p>
    <w:p>
      <w:pPr>
        <w:spacing w:line="590" w:lineRule="exact"/>
        <w:ind w:firstLine="640" w:firstLineChars="200"/>
        <w:rPr>
          <w:szCs w:val="32"/>
        </w:rPr>
      </w:pPr>
      <w:r>
        <w:rPr>
          <w:rFonts w:eastAsia="黑体"/>
          <w:szCs w:val="32"/>
        </w:rPr>
        <w:t>8</w:t>
      </w:r>
      <w:r>
        <w:rPr>
          <w:rFonts w:hint="eastAsia" w:eastAsia="黑体"/>
          <w:szCs w:val="32"/>
        </w:rPr>
        <w:t xml:space="preserve">. </w:t>
      </w:r>
      <w:r>
        <w:rPr>
          <w:rFonts w:eastAsia="黑体"/>
          <w:szCs w:val="32"/>
        </w:rPr>
        <w:t>医疗器械唯一标识</w:t>
      </w:r>
      <w:r>
        <w:rPr>
          <w:szCs w:val="32"/>
        </w:rPr>
        <w:t>：在医疗器械产品或者包装上附载的，由数字、字母或者符号组成的代码，用于对医疗器械进行唯一性识别。</w:t>
      </w:r>
    </w:p>
    <w:p>
      <w:pPr>
        <w:spacing w:line="590" w:lineRule="exact"/>
        <w:ind w:firstLine="640" w:firstLineChars="200"/>
        <w:rPr>
          <w:szCs w:val="32"/>
        </w:rPr>
      </w:pPr>
      <w:r>
        <w:rPr>
          <w:rFonts w:eastAsia="黑体"/>
          <w:szCs w:val="32"/>
        </w:rPr>
        <w:t>9</w:t>
      </w:r>
      <w:r>
        <w:rPr>
          <w:rFonts w:hint="eastAsia" w:eastAsia="黑体"/>
          <w:szCs w:val="32"/>
        </w:rPr>
        <w:t xml:space="preserve">. </w:t>
      </w:r>
      <w:r>
        <w:rPr>
          <w:rFonts w:eastAsia="黑体"/>
          <w:szCs w:val="32"/>
        </w:rPr>
        <w:t>《中华人民共和国药典》</w:t>
      </w:r>
      <w:r>
        <w:rPr>
          <w:szCs w:val="32"/>
        </w:rPr>
        <w:t>：由国务院药品监督管理部门会同国务院卫生健康主管部门组织国家药典委员会制定和修订的国家药品标准，是药品研制、生产、经营、使用和监督管理等均应遵循的法定依据。</w:t>
      </w:r>
    </w:p>
    <w:p>
      <w:pPr>
        <w:spacing w:line="590" w:lineRule="exact"/>
        <w:ind w:firstLine="640" w:firstLineChars="200"/>
        <w:rPr>
          <w:szCs w:val="32"/>
        </w:rPr>
      </w:pPr>
      <w:r>
        <w:rPr>
          <w:rFonts w:eastAsia="黑体"/>
          <w:szCs w:val="32"/>
        </w:rPr>
        <w:t>10</w:t>
      </w:r>
      <w:r>
        <w:rPr>
          <w:rFonts w:hint="eastAsia" w:eastAsia="黑体"/>
          <w:szCs w:val="32"/>
        </w:rPr>
        <w:t xml:space="preserve">. </w:t>
      </w:r>
      <w:r>
        <w:rPr>
          <w:rFonts w:eastAsia="黑体"/>
          <w:szCs w:val="32"/>
        </w:rPr>
        <w:t>中药配方颗粒</w:t>
      </w:r>
      <w:r>
        <w:rPr>
          <w:szCs w:val="32"/>
        </w:rPr>
        <w:t>：由单味中药饮片经水提、分离、浓缩、干燥、制粒而成的颗粒，在中医药理论指导下，按照中医临床处方调配后，供患者冲服使用。中药配方颗粒的质量监管纳入中药饮片管理范畴。</w:t>
      </w:r>
    </w:p>
    <w:p>
      <w:pPr>
        <w:spacing w:line="590" w:lineRule="exact"/>
        <w:ind w:firstLine="640" w:firstLineChars="200"/>
        <w:rPr>
          <w:szCs w:val="32"/>
        </w:rPr>
      </w:pPr>
      <w:r>
        <w:rPr>
          <w:rFonts w:eastAsia="黑体"/>
          <w:szCs w:val="32"/>
        </w:rPr>
        <w:t>11</w:t>
      </w:r>
      <w:r>
        <w:rPr>
          <w:rFonts w:hint="eastAsia" w:eastAsia="黑体"/>
          <w:szCs w:val="32"/>
        </w:rPr>
        <w:t xml:space="preserve">. </w:t>
      </w:r>
      <w:r>
        <w:rPr>
          <w:rFonts w:eastAsia="黑体"/>
          <w:szCs w:val="32"/>
        </w:rPr>
        <w:t>“处罚到人”</w:t>
      </w:r>
      <w:r>
        <w:rPr>
          <w:szCs w:val="32"/>
        </w:rPr>
        <w:t>：在对药品违法单位依法处罚的同时，依据《中华人民共和国药品管理法》《中华人民共和国疫苗管理法》等法律法规对单位法定代表人、主要负责人、直接负责的主管人员和其他相关人员给予禁止在一定期限内从事药品生产经营活动的行政处罚。</w:t>
      </w:r>
    </w:p>
    <w:p>
      <w:pPr>
        <w:spacing w:line="590" w:lineRule="exact"/>
        <w:ind w:firstLine="640" w:firstLineChars="200"/>
        <w:rPr>
          <w:szCs w:val="32"/>
        </w:rPr>
      </w:pPr>
      <w:r>
        <w:rPr>
          <w:rFonts w:eastAsia="黑体"/>
          <w:szCs w:val="32"/>
        </w:rPr>
        <w:t>12</w:t>
      </w:r>
      <w:r>
        <w:rPr>
          <w:rFonts w:hint="eastAsia" w:eastAsia="黑体"/>
          <w:szCs w:val="32"/>
        </w:rPr>
        <w:t xml:space="preserve">. </w:t>
      </w:r>
      <w:r>
        <w:rPr>
          <w:rFonts w:eastAsia="黑体"/>
          <w:szCs w:val="32"/>
        </w:rPr>
        <w:t>执业药师</w:t>
      </w:r>
      <w:r>
        <w:rPr>
          <w:szCs w:val="32"/>
        </w:rPr>
        <w:t>：经全国统一考试合格，取得《中华人民共和国执业药师职业资格证书》并经注册，在药品生产、经营、使用和其他需要提供药学服务的单位中执业的药学技术人员。</w:t>
      </w:r>
    </w:p>
    <w:p>
      <w:pPr>
        <w:spacing w:line="590" w:lineRule="exact"/>
        <w:ind w:firstLine="640" w:firstLineChars="200"/>
        <w:rPr>
          <w:szCs w:val="32"/>
        </w:rPr>
      </w:pPr>
      <w:r>
        <w:rPr>
          <w:rFonts w:eastAsia="黑体"/>
          <w:szCs w:val="32"/>
        </w:rPr>
        <w:t>13</w:t>
      </w:r>
      <w:r>
        <w:rPr>
          <w:rFonts w:hint="eastAsia" w:eastAsia="黑体"/>
          <w:szCs w:val="32"/>
        </w:rPr>
        <w:t xml:space="preserve">.  </w:t>
      </w:r>
      <w:r>
        <w:rPr>
          <w:rFonts w:eastAsia="黑体"/>
          <w:szCs w:val="32"/>
        </w:rPr>
        <w:t>医疗器械分类管理</w:t>
      </w:r>
      <w:r>
        <w:rPr>
          <w:szCs w:val="32"/>
        </w:rPr>
        <w:t>：国家对医疗器械按照风险程度实行分类管理。第一类是风险程度低，实行常规管理可以保证其安全、有效的医疗器械；第二类是具有中度风险，需要严格控制管理以保证其安全、有效的医疗器械；第三类是具有较高风险，需要采取特别措施严格控制管理以保证其安全、有效的医疗器械。</w:t>
      </w:r>
    </w:p>
    <w:p>
      <w:pPr>
        <w:spacing w:line="590" w:lineRule="exact"/>
        <w:ind w:firstLine="640" w:firstLineChars="200"/>
        <w:rPr>
          <w:szCs w:val="32"/>
        </w:rPr>
      </w:pPr>
      <w:r>
        <w:rPr>
          <w:rFonts w:eastAsia="黑体"/>
          <w:szCs w:val="32"/>
        </w:rPr>
        <w:t>14</w:t>
      </w:r>
      <w:r>
        <w:rPr>
          <w:rFonts w:hint="eastAsia" w:eastAsia="黑体"/>
          <w:szCs w:val="32"/>
        </w:rPr>
        <w:t xml:space="preserve">. </w:t>
      </w:r>
      <w:r>
        <w:rPr>
          <w:rFonts w:eastAsia="黑体"/>
          <w:szCs w:val="32"/>
        </w:rPr>
        <w:t>“浙苗链”</w:t>
      </w:r>
      <w:r>
        <w:rPr>
          <w:szCs w:val="32"/>
        </w:rPr>
        <w:t>：浙江省疫苗全链条追溯监管系统的简称，对全省流通疫苗实行全程追溯、重要事项监管、冷链监控预警、问题疫苗召回的数字化管理。</w:t>
      </w:r>
    </w:p>
    <w:p>
      <w:pPr>
        <w:spacing w:line="590" w:lineRule="exact"/>
        <w:ind w:firstLine="640" w:firstLineChars="200"/>
        <w:rPr>
          <w:szCs w:val="32"/>
        </w:rPr>
      </w:pPr>
      <w:r>
        <w:rPr>
          <w:rFonts w:eastAsia="黑体"/>
          <w:szCs w:val="32"/>
        </w:rPr>
        <w:t>15</w:t>
      </w:r>
      <w:r>
        <w:rPr>
          <w:rFonts w:hint="eastAsia" w:eastAsia="黑体"/>
          <w:szCs w:val="32"/>
        </w:rPr>
        <w:t xml:space="preserve">. </w:t>
      </w:r>
      <w:r>
        <w:rPr>
          <w:rFonts w:eastAsia="黑体"/>
          <w:szCs w:val="32"/>
        </w:rPr>
        <w:t>“浙药链”</w:t>
      </w:r>
      <w:r>
        <w:rPr>
          <w:szCs w:val="32"/>
        </w:rPr>
        <w:t>：浙江省药品全链条追溯管理系统的简称，按照全国统一的药品信息化</w:t>
      </w:r>
      <w:bookmarkStart w:id="108" w:name="_Hlk72491239"/>
      <w:r>
        <w:rPr>
          <w:szCs w:val="32"/>
        </w:rPr>
        <w:t>追溯标准</w:t>
      </w:r>
      <w:bookmarkEnd w:id="108"/>
      <w:r>
        <w:rPr>
          <w:szCs w:val="32"/>
        </w:rPr>
        <w:t>，建立健全药品编码管理等多种技术手段的追溯体系，覆盖研发、生产、流通、使用全过程，形成来源可查、去向可追、责任可究的信息链条。按照追溯标准建立的药品编码简称“浙药码”。</w:t>
      </w:r>
    </w:p>
    <w:p>
      <w:pPr>
        <w:spacing w:line="590" w:lineRule="exact"/>
        <w:ind w:firstLine="640" w:firstLineChars="200"/>
        <w:rPr>
          <w:szCs w:val="32"/>
        </w:rPr>
      </w:pPr>
      <w:r>
        <w:rPr>
          <w:rFonts w:eastAsia="黑体"/>
          <w:szCs w:val="32"/>
        </w:rPr>
        <w:t>16</w:t>
      </w:r>
      <w:r>
        <w:rPr>
          <w:rFonts w:hint="eastAsia" w:eastAsia="黑体"/>
          <w:szCs w:val="32"/>
        </w:rPr>
        <w:t xml:space="preserve">. </w:t>
      </w:r>
      <w:r>
        <w:rPr>
          <w:rFonts w:eastAsia="黑体"/>
          <w:szCs w:val="32"/>
        </w:rPr>
        <w:t>“黑匣子”工程</w:t>
      </w:r>
      <w:r>
        <w:rPr>
          <w:szCs w:val="32"/>
        </w:rPr>
        <w:t>：重点药品生产企业智慧监管“黑匣子”工程的简称，依托企业信息化系统，选择影响药品质量的关键信息数据，建立企业物料、生产、质量检验、产品放行等主要参数的数据仓，保证企业监管“源头可溯、流向可查、风险可追、质量可控”。</w:t>
      </w:r>
    </w:p>
    <w:p>
      <w:pPr>
        <w:spacing w:line="590" w:lineRule="exact"/>
        <w:ind w:firstLine="640" w:firstLineChars="200"/>
        <w:rPr>
          <w:szCs w:val="32"/>
        </w:rPr>
      </w:pPr>
      <w:r>
        <w:rPr>
          <w:rFonts w:eastAsia="黑体"/>
          <w:szCs w:val="32"/>
        </w:rPr>
        <w:t>17</w:t>
      </w:r>
      <w:r>
        <w:rPr>
          <w:rFonts w:hint="eastAsia" w:eastAsia="黑体"/>
          <w:szCs w:val="32"/>
        </w:rPr>
        <w:t xml:space="preserve">. </w:t>
      </w:r>
      <w:r>
        <w:rPr>
          <w:rFonts w:eastAsia="黑体"/>
          <w:szCs w:val="32"/>
        </w:rPr>
        <w:t>“2+N”技术支撑协同体系</w:t>
      </w:r>
      <w:r>
        <w:rPr>
          <w:szCs w:val="32"/>
        </w:rPr>
        <w:t>：“2”即省食品药品检验研究院、省医疗器械检验研究院，“N”即各市药品检验研究机构和医药产业集聚的县（市、区）药品检验研究机构，构建上下协同、功能互补、各具特色、高效运行的技术支撑协同机制。</w:t>
      </w:r>
    </w:p>
    <w:p>
      <w:pPr>
        <w:spacing w:line="590" w:lineRule="exact"/>
        <w:ind w:firstLine="640" w:firstLineChars="200"/>
        <w:rPr>
          <w:szCs w:val="32"/>
        </w:rPr>
      </w:pPr>
      <w:r>
        <w:rPr>
          <w:rFonts w:eastAsia="黑体"/>
          <w:szCs w:val="32"/>
        </w:rPr>
        <w:t>18</w:t>
      </w:r>
      <w:r>
        <w:rPr>
          <w:rFonts w:hint="eastAsia" w:eastAsia="黑体"/>
          <w:szCs w:val="32"/>
        </w:rPr>
        <w:t xml:space="preserve">. </w:t>
      </w:r>
      <w:r>
        <w:rPr>
          <w:rFonts w:eastAsia="黑体"/>
          <w:szCs w:val="32"/>
        </w:rPr>
        <w:t>药物警戒</w:t>
      </w:r>
      <w:r>
        <w:rPr>
          <w:szCs w:val="32"/>
        </w:rPr>
        <w:t>：国家建立药物、医疗器械警戒制度，对药品、医疗器械不良反应（事件）及其他与用药用械有关的有害反应进行监测、识别、评估和控制。</w:t>
      </w:r>
    </w:p>
    <w:p>
      <w:pPr>
        <w:spacing w:line="590" w:lineRule="exact"/>
        <w:ind w:firstLine="640" w:firstLineChars="200"/>
        <w:rPr>
          <w:szCs w:val="32"/>
        </w:rPr>
      </w:pPr>
      <w:r>
        <w:rPr>
          <w:rFonts w:eastAsia="黑体"/>
          <w:szCs w:val="32"/>
        </w:rPr>
        <w:t>19</w:t>
      </w:r>
      <w:r>
        <w:rPr>
          <w:rFonts w:hint="eastAsia" w:eastAsia="黑体"/>
          <w:szCs w:val="32"/>
        </w:rPr>
        <w:t xml:space="preserve">. </w:t>
      </w:r>
      <w:r>
        <w:rPr>
          <w:rFonts w:eastAsia="黑体"/>
          <w:szCs w:val="32"/>
        </w:rPr>
        <w:t>“戒欺”文化</w:t>
      </w:r>
      <w:r>
        <w:rPr>
          <w:szCs w:val="32"/>
        </w:rPr>
        <w:t>：胡庆余堂朝里悬挂“戒欺”横匾，意为“凡百贸易均着不得欺字，药业关系性命，尤为万不可欺。”</w:t>
      </w:r>
    </w:p>
    <w:p>
      <w:pPr>
        <w:spacing w:line="590" w:lineRule="exact"/>
        <w:ind w:firstLine="640" w:firstLineChars="200"/>
        <w:rPr>
          <w:szCs w:val="32"/>
        </w:rPr>
      </w:pPr>
      <w:r>
        <w:rPr>
          <w:rFonts w:eastAsia="黑体"/>
          <w:szCs w:val="32"/>
        </w:rPr>
        <w:t>20</w:t>
      </w:r>
      <w:r>
        <w:rPr>
          <w:rFonts w:hint="eastAsia" w:eastAsia="黑体"/>
          <w:szCs w:val="32"/>
        </w:rPr>
        <w:t xml:space="preserve">. </w:t>
      </w:r>
      <w:r>
        <w:rPr>
          <w:rFonts w:eastAsia="黑体"/>
          <w:szCs w:val="32"/>
        </w:rPr>
        <w:t>“新老浙八味”</w:t>
      </w:r>
      <w:r>
        <w:rPr>
          <w:szCs w:val="32"/>
        </w:rPr>
        <w:t>：浙江地区道地药材，“浙八味”指白术、白芍、浙贝母、杭白菊、元胡、玄参、笕麦冬、温郁金等八味中药材；“新浙八味”指铁皮石斛、衢枳壳、乌药、三叶青、覆盆子、前胡、灵芝、西红花等八味中药材。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楷体_GB2312">
    <w:altName w:val="汉仪楷体KW"/>
    <w:panose1 w:val="02010609030101010101"/>
    <w:charset w:val="00"/>
    <w:family w:val="modern"/>
    <w:pitch w:val="default"/>
    <w:sig w:usb0="00000000" w:usb1="00000000" w:usb2="00000000" w:usb3="00000000" w:csb0="00040000" w:csb1="00000000"/>
  </w:font>
  <w:font w:name="Arial Rounded MT Bold">
    <w:panose1 w:val="020F0704030504030204"/>
    <w:charset w:val="00"/>
    <w:family w:val="swiss"/>
    <w:pitch w:val="default"/>
    <w:sig w:usb0="00000003" w:usb1="00000000" w:usb2="00000000" w:usb3="00000000" w:csb0="20000001" w:csb1="00000000"/>
  </w:font>
  <w:font w:name="黑体">
    <w:altName w:val="汉仪中黑KW"/>
    <w:panose1 w:val="02010609060101010101"/>
    <w:charset w:val="00"/>
    <w:family w:val="auto"/>
    <w:pitch w:val="default"/>
    <w:sig w:usb0="00000000" w:usb1="00000000" w:usb2="00000016" w:usb3="00000000" w:csb0="00040001" w:csb1="00000000"/>
  </w:font>
  <w:font w:name="仿宋">
    <w:altName w:val="汉仪仿宋KW"/>
    <w:panose1 w:val="02010609060101010101"/>
    <w:charset w:val="00"/>
    <w:family w:val="modern"/>
    <w:pitch w:val="default"/>
    <w:sig w:usb0="00000000" w:usb1="00000000" w:usb2="00000016" w:usb3="00000000" w:csb0="00040001" w:csb1="00000000"/>
  </w:font>
  <w:font w:name="方正仿宋简体">
    <w:altName w:val="苹方-简"/>
    <w:panose1 w:val="03000509000000000000"/>
    <w:charset w:val="00"/>
    <w:family w:val="script"/>
    <w:pitch w:val="default"/>
    <w:sig w:usb0="00000000" w:usb1="00000000" w:usb2="00000010" w:usb3="00000000" w:csb0="00040000" w:csb1="00000000"/>
  </w:font>
  <w:font w:name="等线 Light">
    <w:altName w:val="汉仪中等线KW"/>
    <w:panose1 w:val="02010600030101010101"/>
    <w:charset w:val="00"/>
    <w:family w:val="auto"/>
    <w:pitch w:val="default"/>
    <w:sig w:usb0="00000000" w:usb1="00000000" w:usb2="00000016" w:usb3="00000000" w:csb0="0004000F" w:csb1="00000000"/>
  </w:font>
  <w:font w:name="Courier New">
    <w:panose1 w:val="02070609020205090404"/>
    <w:charset w:val="00"/>
    <w:family w:val="modern"/>
    <w:pitch w:val="default"/>
    <w:sig w:usb0="E0000AFF" w:usb1="40007843" w:usb2="00000001" w:usb3="00000000" w:csb0="400001BF" w:csb1="DFF70000"/>
  </w:font>
  <w:font w:name="等线">
    <w:altName w:val="汉仪中等线KW"/>
    <w:panose1 w:val="02010600030101010101"/>
    <w:charset w:val="00"/>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46</w:t>
    </w:r>
    <w:r>
      <w:rPr>
        <w:sz w:val="28"/>
        <w:szCs w:val="28"/>
      </w:rPr>
      <w:fldChar w:fldCharType="end"/>
    </w:r>
    <w:r>
      <w:rPr>
        <w:rStyle w:val="8"/>
        <w:rFonts w:hint="eastAsia"/>
        <w:sz w:val="28"/>
        <w:szCs w:val="28"/>
      </w:rPr>
      <w:t xml:space="preserve"> —</w:t>
    </w:r>
  </w:p>
  <w:p>
    <w:pPr>
      <w:pStyle w:val="5"/>
      <w:ind w:right="360" w:firstLine="360"/>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-193675</wp:posOffset>
              </wp:positionV>
              <wp:extent cx="5615940" cy="252095"/>
              <wp:effectExtent l="0" t="0" r="0" b="0"/>
              <wp:wrapNone/>
              <wp:docPr id="1" name="矩形 1"/>
              <wp:cNvGraphicFramePr/>
              <a:graphic xmlns:a="http://schemas.openxmlformats.org/drawingml/2006/main">
                <a:graphicData uri="http://schemas.microsoft.com/office/word/2010/wordprocessingShape">
                  <wps:wsp>
                    <wps:cNvSpPr/>
                    <wps:spPr>
                      <a:xfrm>
                        <a:off x="0" y="0"/>
                        <a:ext cx="5615940" cy="252095"/>
                      </a:xfrm>
                      <a:prstGeom prst="rect">
                        <a:avLst/>
                      </a:prstGeom>
                      <a:noFill/>
                      <a:ln w="9525">
                        <a:noFill/>
                      </a:ln>
                    </wps:spPr>
                    <wps:bodyPr upright="1"/>
                  </wps:wsp>
                </a:graphicData>
              </a:graphic>
            </wp:anchor>
          </w:drawing>
        </mc:Choice>
        <mc:Fallback>
          <w:pict>
            <v:rect id="_x0000_s1026" o:spid="_x0000_s1026" o:spt="1" style="position:absolute;left:0pt;margin-top:-15.25pt;height:19.85pt;width:442.2pt;mso-position-horizontal:center;mso-position-horizontal-relative:margin;z-index:251658240;mso-width-relative:page;mso-height-relative:page;" filled="f" stroked="f" coordsize="21600,21600" o:gfxdata="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DEs1hM1wAAAAYBAAAPAAAAAAAAAAEAIAAA&#10;ADgAAABkcnMvZG93bnJldi54bWxQSwECFAAUAAAACACHTuJAkTmI6oUBAADxAgAADgAAAAAAAAAB&#10;ACAAAAA8AQAAZHJzL2Uyb0RvYy54bWxQSwUGAAAAAAYABgBZAQAAMwUAAAAA&#10;">
              <v:fill on="f"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B4F01"/>
    <w:multiLevelType w:val="multilevel"/>
    <w:tmpl w:val="3F4B4F01"/>
    <w:lvl w:ilvl="0" w:tentative="0">
      <w:start w:val="1"/>
      <w:numFmt w:val="chineseCountingThousand"/>
      <w:pStyle w:val="3"/>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7B915"/>
    <w:rsid w:val="3A7820AC"/>
    <w:rsid w:val="7FB7B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b/>
      <w:kern w:val="44"/>
      <w:sz w:val="44"/>
      <w:szCs w:val="20"/>
    </w:rPr>
  </w:style>
  <w:style w:type="paragraph" w:styleId="3">
    <w:name w:val="heading 2"/>
    <w:basedOn w:val="1"/>
    <w:next w:val="1"/>
    <w:link w:val="11"/>
    <w:unhideWhenUsed/>
    <w:qFormat/>
    <w:uiPriority w:val="0"/>
    <w:pPr>
      <w:keepNext/>
      <w:keepLines/>
      <w:numPr>
        <w:ilvl w:val="0"/>
        <w:numId w:val="1"/>
      </w:numPr>
      <w:spacing w:line="500" w:lineRule="exact"/>
      <w:outlineLvl w:val="1"/>
    </w:pPr>
    <w:rPr>
      <w:rFonts w:ascii="Arial" w:hAnsi="Arial" w:eastAsia="楷体_GB2312"/>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Cs w:val="32"/>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10">
    <w:name w:val="列表段落1"/>
    <w:basedOn w:val="1"/>
    <w:qFormat/>
    <w:uiPriority w:val="0"/>
    <w:pPr>
      <w:autoSpaceDE w:val="0"/>
      <w:autoSpaceDN w:val="0"/>
      <w:jc w:val="left"/>
    </w:pPr>
    <w:rPr>
      <w:rFonts w:ascii="宋体" w:hAnsi="宋体" w:eastAsia="宋体" w:cs="宋体"/>
      <w:kern w:val="0"/>
      <w:sz w:val="22"/>
      <w:szCs w:val="22"/>
      <w:lang w:val="zh-CN" w:bidi="zh-CN"/>
    </w:rPr>
  </w:style>
  <w:style w:type="character" w:customStyle="1" w:styleId="11">
    <w:name w:val="标题 2 Char"/>
    <w:basedOn w:val="7"/>
    <w:link w:val="3"/>
    <w:qFormat/>
    <w:uiPriority w:val="0"/>
    <w:rPr>
      <w:rFonts w:ascii="Arial" w:hAnsi="Arial" w:eastAsia="楷体_GB2312"/>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2021-06-30T09:06:00Z</dcterms:created>
  <dc:creator>chanvictor</dc:creator>
  <cp:lastModifiedBy>chanvictor</cp:lastModifiedBy>
  <dcterms:modified xsi:type="dcterms:W3CDTF">2021-06-30T09:13:23Z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ies>
</file>