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502B" w14:textId="3BDBD9F6" w:rsidR="009135FB" w:rsidRPr="00C86D29" w:rsidRDefault="00220DCE" w:rsidP="008A7EBF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="009135FB" w:rsidRPr="00C86D29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412EDE62" w14:textId="06C35D23" w:rsidR="00E418BE" w:rsidRPr="00C86D29" w:rsidRDefault="00E418BE" w:rsidP="00E26559">
      <w:pPr>
        <w:snapToGrid w:val="0"/>
        <w:spacing w:afterLines="150" w:after="468" w:line="600" w:lineRule="exact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 w:rsidR="0051629B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尚</w:t>
      </w:r>
      <w:r w:rsidR="00F8337F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未发布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参比制剂目录</w:t>
      </w:r>
      <w:r w:rsidR="002271AF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（</w:t>
      </w:r>
      <w:r w:rsidR="00796090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第</w:t>
      </w:r>
      <w:r w:rsidR="00DC683E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四十</w:t>
      </w:r>
      <w:r w:rsidR="00ED4E3B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六</w:t>
      </w:r>
      <w:r w:rsidR="00555C4E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批</w:t>
      </w:r>
      <w:r w:rsidR="002271AF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="002271AF" w:rsidRPr="00C86D29">
        <w:rPr>
          <w:rFonts w:ascii="Times New Roman" w:eastAsia="方正小标宋简体" w:hAnsi="Times New Roman" w:cs="Times New Roman"/>
          <w:sz w:val="36"/>
          <w:szCs w:val="36"/>
        </w:rPr>
        <w:t>（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征求意见稿</w:t>
      </w:r>
      <w:r w:rsidR="002271AF" w:rsidRPr="00C86D29">
        <w:rPr>
          <w:rFonts w:ascii="Times New Roman" w:eastAsia="方正小标宋简体" w:hAnsi="Times New Roman" w:cs="Times New Roman"/>
          <w:sz w:val="36"/>
          <w:szCs w:val="36"/>
        </w:rPr>
        <w:t>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805"/>
        <w:gridCol w:w="2298"/>
        <w:gridCol w:w="2410"/>
        <w:gridCol w:w="2126"/>
        <w:gridCol w:w="1701"/>
      </w:tblGrid>
      <w:tr w:rsidR="007D7ED4" w:rsidRPr="00394BD6" w14:paraId="4BE06C64" w14:textId="77777777" w:rsidTr="00394BD6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0AC6D" w14:textId="77777777" w:rsidR="00722F42" w:rsidRPr="00394BD6" w:rsidRDefault="00722F42" w:rsidP="002667AF">
            <w:pPr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39EEC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4AEF5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8C413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6C2EC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0D684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4652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B414A8" w:rsidRPr="00394BD6" w14:paraId="18C9856A" w14:textId="77777777" w:rsidTr="00394BD6">
        <w:trPr>
          <w:cantSplit/>
          <w:trHeight w:val="8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F4E14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30225" w14:textId="5E796AB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美阿沙坦钾片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63E13" w14:textId="514044D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Azilsartan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Medoxomil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Potassium Tablets/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易达比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849AD" w14:textId="29CD2C6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C30H24N4O8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F458A" w14:textId="3382249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Takeda Pharma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BBB37" w14:textId="020789F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FF08" w14:textId="20850FA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B414A8" w:rsidRPr="00394BD6" w14:paraId="361E7CE3" w14:textId="77777777" w:rsidTr="00394BD6">
        <w:trPr>
          <w:cantSplit/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F2627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76AE2" w14:textId="126871F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美阿沙坦钾片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C02DF" w14:textId="2028348D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Azilsartan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Medoxomil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Potassium Tablets/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易达比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6E347" w14:textId="3A9006A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C30H24N4O8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9F276" w14:textId="4FE4A3D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Takeda Pharma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76046" w14:textId="61B1A59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53B3E" w14:textId="519AEAF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B414A8" w:rsidRPr="00394BD6" w14:paraId="2663B82E" w14:textId="77777777" w:rsidTr="00B414A8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E916B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D7423" w14:textId="4FA16A8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碘比醇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D3A62" w14:textId="3A59853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Iobitridol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Xenetix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（三代显）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58902" w14:textId="62D20A9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5EF8A" w14:textId="570B860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Guerbet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3447F" w14:textId="3C24CFA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7AEE" w14:textId="1D780F8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B414A8" w:rsidRPr="00394BD6" w14:paraId="10796B42" w14:textId="77777777" w:rsidTr="00394BD6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90956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E875" w14:textId="01C2489D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碘比醇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D9D88" w14:textId="61BD401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Iobitridol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Xenetix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（三代显）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139C1" w14:textId="7800ED2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35g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188AA" w14:textId="5CA432FD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Guerbet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4BCCC" w14:textId="4947D19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BAC2F" w14:textId="32D50E8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B414A8" w:rsidRPr="00394BD6" w14:paraId="696D7D16" w14:textId="77777777" w:rsidTr="00394BD6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B81B6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BE62E" w14:textId="02ACB59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鲑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降钙素鼻用喷雾剂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3BFE" w14:textId="6B68D9D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Calcitonin (Salmon) Nasal Spray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C4B7A" w14:textId="5EE8B38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2ml:4400IU, 14</w:t>
            </w: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喷，</w:t>
            </w: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每喷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200IU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856BE" w14:textId="30BAEC6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Future Health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4A58B" w14:textId="64FD48F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9C56" w14:textId="01AF8EA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B414A8" w:rsidRPr="00394BD6" w14:paraId="36F0EA04" w14:textId="77777777" w:rsidTr="00394BD6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6B2F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EC385" w14:textId="1E6C8E2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芬太尼透皮贴剂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FA262" w14:textId="2C86FDC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Fentanyl Transdermal Patches/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Durogrsic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D-Trans</w:t>
            </w: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多瑞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吉）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52DA4" w14:textId="086E1CD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微克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小时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,2.1mg/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4D495" w14:textId="0EC23AE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Cilag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N.V.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C101A" w14:textId="4447987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28338" w14:textId="7B5CD22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B414A8" w:rsidRPr="00394BD6" w14:paraId="21DCDAED" w14:textId="77777777" w:rsidTr="00394BD6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BB09A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2CF9F" w14:textId="6C004DE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芬太尼透皮贴剂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3F222" w14:textId="1EBD885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Fentanyl Transdermal Patches/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Durogrsic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D-Trans</w:t>
            </w: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多瑞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吉）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CE76F" w14:textId="695749C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微克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小时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,4.2mg/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74212" w14:textId="6361006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Cilag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N.V.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EA7F2" w14:textId="6B316C0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DCF0C" w14:textId="1FA968B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B414A8" w:rsidRPr="00394BD6" w14:paraId="451A4B1F" w14:textId="77777777" w:rsidTr="00394BD6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AAD86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C31A" w14:textId="12242ED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芬太尼透皮贴剂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C729E" w14:textId="17768AD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Fentanyl Transdermal Patches/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Durogrsic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D-Trans</w:t>
            </w: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多瑞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吉）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FDC0" w14:textId="70A5B1B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微克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小时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,8.4mg/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48D3C" w14:textId="24D2765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Cilag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N.V.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B1283" w14:textId="2802C2F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1EBA8" w14:textId="10815B1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B414A8" w:rsidRPr="00394BD6" w14:paraId="0C8E8699" w14:textId="77777777" w:rsidTr="00394BD6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06985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CE810" w14:textId="4B430A4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芬太尼透皮贴剂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F7200" w14:textId="0028830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Fentanyl Transdermal Patches/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Durogrsic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D-Trans</w:t>
            </w: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多瑞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吉）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528B7" w14:textId="2855526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微克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小时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,12.6mg/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7CF97" w14:textId="54DE534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Cilag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N.V.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CF42" w14:textId="103CF9E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31D79" w14:textId="03DA408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B414A8" w:rsidRPr="00394BD6" w14:paraId="7436D705" w14:textId="77777777" w:rsidTr="00394BD6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38CD7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0373" w14:textId="30E1EFF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达格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列净二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甲双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胍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299F" w14:textId="5A0C889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Dapagliflozin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Metformin Hydrochloride Extended-Release Tablets/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Xigduo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XR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D803F" w14:textId="534CDEA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2.5mg/1000mg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DAF4D" w14:textId="7CF3B1E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B0293" w14:textId="0DE6700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EA6EE" w14:textId="3E093F3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5936CEE5" w14:textId="77777777" w:rsidTr="00394BD6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680B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458B2" w14:textId="366297D1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达格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列净二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甲双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胍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B7150" w14:textId="2A95EBC1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Dapagliflozin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Metformin Hydrochloride Extended-Release Tablets/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Xigduo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XR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7034C" w14:textId="1B97A6F1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5mg/500mg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65067" w14:textId="369CC82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586F" w14:textId="68A1161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86C13" w14:textId="40FE865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1DD1E8CC" w14:textId="77777777" w:rsidTr="00394BD6">
        <w:trPr>
          <w:cantSplit/>
          <w:trHeight w:val="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85076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38CA4" w14:textId="2E42ED1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达格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列净二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甲双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胍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75E40" w14:textId="40F95711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Dapagliflozin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Metformin Hydrochloride Extended-Release Tablets/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Xigduo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XR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77B97" w14:textId="3857245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10mg/500mg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D2E7D" w14:textId="190E147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D5B0F" w14:textId="0F34F31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B2CC9" w14:textId="48FE39E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731A548A" w14:textId="77777777" w:rsidTr="00394BD6">
        <w:trPr>
          <w:cantSplit/>
          <w:trHeight w:val="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27740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58CD8" w14:textId="37F43A2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恩格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列净二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甲双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胍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915F6" w14:textId="2B4D056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Metformin Hydrochloride And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Empagliflozin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Extended Release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C34FD" w14:textId="256A070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5mg/1000mg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9B7B7" w14:textId="46E02C5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Ingelheim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Pharmaceuticals,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86E0" w14:textId="4936C1B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81D57" w14:textId="7A0F681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1E726E57" w14:textId="77777777" w:rsidTr="00394BD6">
        <w:trPr>
          <w:cantSplit/>
          <w:trHeight w:val="11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46D2D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D3D07" w14:textId="291D146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恩格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列净二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甲双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胍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FBAC" w14:textId="78BCD9A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Metformin Hydrochloride And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Empagliflozin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Extended Release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5F649" w14:textId="3C6C2B0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10mg/1000mg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63193" w14:textId="6F132FD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Ingelheim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Pharmaceuticals,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8B32F" w14:textId="1C3AE54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F09A9" w14:textId="5B85151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28DEDFA3" w14:textId="77777777" w:rsidTr="00394BD6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501B6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F625C" w14:textId="42049B3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恩格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列净二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甲双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胍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D2296" w14:textId="0D0E9ACD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Metformin Hydrochloride And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Empagliflozin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Extended Release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4B30D" w14:textId="5AB71CCD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12.5mg/1000mg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5DC8E" w14:textId="404EA61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Ingelheim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Pharmaceuticals,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AFD8A" w14:textId="70B6DA1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D7BB1" w14:textId="6A4A6D7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23817897" w14:textId="77777777" w:rsidTr="00394BD6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14882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79C02" w14:textId="695DCE4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恩格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列净二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甲双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胍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8F170" w14:textId="1F68037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Metformin Hydrochloride And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Empagliflozin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Extended Release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32110" w14:textId="2B7669C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25mg/1000mg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858AD" w14:textId="1EB4F08D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Ingelheim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Pharmaceuticals,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EB40B" w14:textId="4106EC3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09FA" w14:textId="4C5EF0D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32065" w:rsidRPr="00394BD6" w14:paraId="41BA44FC" w14:textId="77777777" w:rsidTr="00394BD6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143CC" w14:textId="77777777" w:rsidR="00932065" w:rsidRPr="00394BD6" w:rsidRDefault="00932065" w:rsidP="0093206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295C5" w14:textId="2C315F39" w:rsidR="00932065" w:rsidRPr="007A4D25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恩格列净利格列</w:t>
            </w:r>
            <w:proofErr w:type="gramStart"/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汀</w:t>
            </w:r>
            <w:proofErr w:type="gramEnd"/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863EE" w14:textId="7D1EE273" w:rsidR="00932065" w:rsidRPr="007A4D25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Empagliflozin</w:t>
            </w:r>
            <w:proofErr w:type="spellEnd"/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Linagliptin</w:t>
            </w:r>
            <w:proofErr w:type="spellEnd"/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Glyxambi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E989A" w14:textId="24E24054" w:rsidR="00932065" w:rsidRPr="007A4D25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25mg/5mg</w:t>
            </w:r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（恩</w:t>
            </w:r>
            <w:proofErr w:type="gramStart"/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格列净</w:t>
            </w:r>
            <w:proofErr w:type="gramEnd"/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利格列汀）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0F83A" w14:textId="16CA9562" w:rsidR="00932065" w:rsidRPr="007A4D25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Boehringer</w:t>
            </w:r>
            <w:proofErr w:type="spellEnd"/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Ingelheim</w:t>
            </w:r>
            <w:proofErr w:type="spellEnd"/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Pharmaceuticals,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B052" w14:textId="74D19349" w:rsidR="00932065" w:rsidRPr="007A4D25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未进口原研</w:t>
            </w:r>
            <w:proofErr w:type="gramEnd"/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C1F52" w14:textId="270C4AB0" w:rsidR="00932065" w:rsidRPr="007A4D25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932065" w:rsidRPr="00394BD6" w14:paraId="5063F74B" w14:textId="77777777" w:rsidTr="00394BD6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50C7" w14:textId="77777777" w:rsidR="00932065" w:rsidRPr="00394BD6" w:rsidRDefault="00932065" w:rsidP="0093206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5D349" w14:textId="1D99FC75" w:rsidR="00932065" w:rsidRPr="007A4D25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达</w:t>
            </w:r>
            <w:proofErr w:type="gramStart"/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格列净沙格列汀</w:t>
            </w:r>
            <w:proofErr w:type="gramEnd"/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76E10" w14:textId="3776E906" w:rsidR="00932065" w:rsidRPr="007A4D25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Dapagliflozin</w:t>
            </w:r>
            <w:proofErr w:type="spellEnd"/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Saxagliptin</w:t>
            </w:r>
            <w:proofErr w:type="spellEnd"/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Qtern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62DC9" w14:textId="67D660D2" w:rsidR="00932065" w:rsidRPr="007A4D25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5mg/10mg (</w:t>
            </w:r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沙格列汀</w:t>
            </w:r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达格列净）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746EB" w14:textId="264D49BB" w:rsidR="00932065" w:rsidRPr="007A4D25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A4D2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AstraZeneca Pharmaceuticals LP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8897A" w14:textId="7E1264EB" w:rsidR="00932065" w:rsidRPr="007A4D25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未进口原研</w:t>
            </w:r>
            <w:proofErr w:type="gramEnd"/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EDA93" w14:textId="22B69158" w:rsidR="00932065" w:rsidRPr="007A4D25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A4D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456D54BD" w14:textId="77777777" w:rsidTr="00394BD6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309BC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97672" w14:textId="54A0AA89" w:rsidR="00B414A8" w:rsidRPr="007A4D25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A4D25">
              <w:rPr>
                <w:rFonts w:ascii="Times New Roman" w:eastAsia="仿宋_GB2312" w:hAnsi="Times New Roman" w:cs="Times New Roman"/>
                <w:sz w:val="24"/>
                <w:szCs w:val="24"/>
              </w:rPr>
              <w:t>氨</w:t>
            </w:r>
            <w:proofErr w:type="gramStart"/>
            <w:r w:rsidRPr="007A4D25">
              <w:rPr>
                <w:rFonts w:ascii="Times New Roman" w:eastAsia="仿宋_GB2312" w:hAnsi="Times New Roman" w:cs="Times New Roman"/>
                <w:sz w:val="24"/>
                <w:szCs w:val="24"/>
              </w:rPr>
              <w:t>磺</w:t>
            </w:r>
            <w:proofErr w:type="gramEnd"/>
            <w:r w:rsidRPr="007A4D25">
              <w:rPr>
                <w:rFonts w:ascii="Times New Roman" w:eastAsia="仿宋_GB2312" w:hAnsi="Times New Roman" w:cs="Times New Roman"/>
                <w:sz w:val="24"/>
                <w:szCs w:val="24"/>
              </w:rPr>
              <w:t>必利注射液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1C4B7" w14:textId="503AEA61" w:rsidR="00B414A8" w:rsidRPr="007A4D25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4D25">
              <w:rPr>
                <w:rFonts w:ascii="Times New Roman" w:eastAsia="仿宋_GB2312" w:hAnsi="Times New Roman" w:cs="Times New Roman"/>
                <w:sz w:val="24"/>
                <w:szCs w:val="24"/>
              </w:rPr>
              <w:t>Amisulpride</w:t>
            </w:r>
            <w:proofErr w:type="spellEnd"/>
            <w:r w:rsidRPr="007A4D2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 </w:t>
            </w:r>
            <w:proofErr w:type="spellStart"/>
            <w:r w:rsidRPr="007A4D25">
              <w:rPr>
                <w:rFonts w:ascii="Times New Roman" w:eastAsia="仿宋_GB2312" w:hAnsi="Times New Roman" w:cs="Times New Roman"/>
                <w:sz w:val="24"/>
                <w:szCs w:val="24"/>
              </w:rPr>
              <w:t>Barhemsys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45707" w14:textId="16D84C07" w:rsidR="00B414A8" w:rsidRPr="007A4D25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A4D25">
              <w:rPr>
                <w:rFonts w:ascii="Times New Roman" w:eastAsia="仿宋_GB2312" w:hAnsi="Times New Roman" w:cs="Times New Roman"/>
                <w:sz w:val="24"/>
                <w:szCs w:val="24"/>
              </w:rPr>
              <w:t>2ml</w:t>
            </w:r>
            <w:r w:rsidRPr="007A4D2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A4D25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B8A60" w14:textId="4F98652D" w:rsidR="00B414A8" w:rsidRPr="007A4D25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A4D25">
              <w:rPr>
                <w:rFonts w:ascii="Times New Roman" w:eastAsia="仿宋_GB2312" w:hAnsi="Times New Roman" w:cs="Times New Roman"/>
                <w:sz w:val="24"/>
                <w:szCs w:val="24"/>
              </w:rPr>
              <w:t>Acacia Pharma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4ED4" w14:textId="34C9ECD2" w:rsidR="00B414A8" w:rsidRPr="007A4D25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A4D25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7A4D25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4FF92" w14:textId="28E9F07B" w:rsidR="00B414A8" w:rsidRPr="007A4D25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A4D25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414A8" w:rsidRPr="00394BD6" w14:paraId="407C8C1C" w14:textId="77777777" w:rsidTr="00394BD6">
        <w:trPr>
          <w:cantSplit/>
          <w:trHeight w:val="9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519A8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609F7" w14:textId="7C5F88A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醋酸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锌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90A98" w14:textId="2CF6D41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Zinc Acetate Capsules/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Galzin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83619" w14:textId="67712E4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01E7E" w14:textId="310A877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B792" w14:textId="1F4751DD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50FD1" w14:textId="6FF36A3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414A8" w:rsidRPr="00394BD6" w14:paraId="4502F319" w14:textId="77777777" w:rsidTr="00394BD6">
        <w:trPr>
          <w:cantSplit/>
          <w:trHeight w:val="9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07FD6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3757" w14:textId="5CB8898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醋酸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锌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8F587" w14:textId="7BA709B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Zinc Acetate Capsules/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Galzin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E554" w14:textId="26E0492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DA493" w14:textId="5493C28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F8C2B" w14:textId="39B0C8F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135A0" w14:textId="031188E1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414A8" w:rsidRPr="00394BD6" w14:paraId="7697B8E5" w14:textId="77777777" w:rsidTr="00394BD6">
        <w:trPr>
          <w:cantSplit/>
          <w:trHeight w:val="8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36B04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D58CF" w14:textId="315312E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青霉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胺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4EDAA" w14:textId="064CE1D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Penicillamine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Capsules./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Cuprimine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E853F" w14:textId="4FC3A57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AB0B4" w14:textId="26844CF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Valeant Pharmaceuticals International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9DC1B" w14:textId="0109A7B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DD52C" w14:textId="772CAB7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414A8" w:rsidRPr="00394BD6" w14:paraId="369646AD" w14:textId="77777777" w:rsidTr="00394BD6">
        <w:trPr>
          <w:cantSplit/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A608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35593" w14:textId="12DC856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甲磺酸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奈舒地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尔滴眼液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CBFC" w14:textId="6157236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Netarsudil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Mesylate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Ophthalmic Solution/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Rhopressa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C4563" w14:textId="0B515DA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0.02%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E9B58" w14:textId="6BA874A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Aerie Pharms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A482C" w14:textId="3B1DD49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FAB94" w14:textId="5EB60C8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75C05907" w14:textId="77777777" w:rsidTr="00394BD6">
        <w:trPr>
          <w:cantSplit/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40DB6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B25F" w14:textId="3CA7502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地奈德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软膏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DA346" w14:textId="79BA9D1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Desonide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Ointment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DC08C" w14:textId="0728782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0.05%(w/w)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0881D" w14:textId="36966E6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Perrigo New York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27E6D" w14:textId="4417018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8F6C9" w14:textId="41A3294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414A8" w:rsidRPr="00394BD6" w14:paraId="6CE32755" w14:textId="77777777" w:rsidTr="00394BD6">
        <w:trPr>
          <w:cantSplit/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1171A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00993" w14:textId="5FD8CB7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多聚糖超顺磁氧化铁注射液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C3107" w14:textId="1B03B19D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Ferumoxytol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Feraheme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1D793" w14:textId="77C18BC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17ml:510mg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E9F6" w14:textId="571C56E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Covis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Gmbh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747C1" w14:textId="753E3D9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8723B" w14:textId="6FCCF49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1E67BAF9" w14:textId="77777777" w:rsidTr="00394BD6">
        <w:trPr>
          <w:cantSplit/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0607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B1E93" w14:textId="117E95C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克林霉素磷酸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酯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外用溶液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0B3AF" w14:textId="0E2169B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Clindamycin Phosphate Topical Solution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A28F2" w14:textId="77CE6D1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1CD17" w14:textId="11C6A7E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Perrigo New York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5CAE3" w14:textId="277CA55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55702" w14:textId="594DECC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203B0B0B" w14:textId="77777777" w:rsidTr="00394BD6">
        <w:trPr>
          <w:cantSplit/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12594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B7E3A" w14:textId="216D54ED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0447B">
              <w:rPr>
                <w:rFonts w:ascii="Times New Roman" w:eastAsia="仿宋_GB2312" w:hAnsi="Times New Roman" w:cs="Times New Roman"/>
                <w:sz w:val="24"/>
                <w:szCs w:val="24"/>
              </w:rPr>
              <w:t>盐酸氨酮戊酸口服溶液用冻干粉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3A48" w14:textId="47F92491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Aminolevulinic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Acid Hydrochloride powder for oral solution/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Gliolan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6B35F" w14:textId="6552B33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1.5g/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C2DD6" w14:textId="3A050A9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Medac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73AEA" w14:textId="09695BE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C0A7C" w14:textId="435C9E6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B414A8" w:rsidRPr="00394BD6" w14:paraId="18D59319" w14:textId="77777777" w:rsidTr="00394BD6">
        <w:trPr>
          <w:cantSplit/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4922B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8438D" w14:textId="5336DEB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他氟前列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素马来酸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噻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吗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尔滴眼液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46073" w14:textId="7B0AFCE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Tafluprost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Timolol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Maleate Eye Drops 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Tapcom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4E8BA" w14:textId="6F941AE1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含他氟前列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素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15μg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，马来酸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噻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吗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6.83mg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（相当于含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噻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吗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11650" w14:textId="1FD80D2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参天制药株式会社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1E6BC" w14:textId="3E7E05F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D94E2" w14:textId="03B771F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B414A8" w:rsidRPr="00394BD6" w14:paraId="55079B72" w14:textId="77777777" w:rsidTr="00394BD6">
        <w:trPr>
          <w:cantSplit/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21794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F448F" w14:textId="2F9B715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酮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洛芬贴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5F9D7" w14:textId="5F77AD3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Ketoprofen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Patches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Mohrus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E896B" w14:textId="446313A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贴（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7cm×10cm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A9F52" w14:textId="697DF87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久光</w:t>
            </w:r>
            <w:r w:rsidRPr="00B414A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ED146" w14:textId="20B13AB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F4504" w14:textId="4A26E17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B414A8" w:rsidRPr="00394BD6" w14:paraId="1CC37D1F" w14:textId="77777777" w:rsidTr="00394BD6">
        <w:trPr>
          <w:cantSplit/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BA0A2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E48C9" w14:textId="50A366C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酮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洛芬贴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B0A14" w14:textId="66F6F74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Ketoprofen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Patches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Mohrus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E90E9" w14:textId="43881C6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40mg/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贴（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10cm×14cm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A06D9" w14:textId="5C2EF4E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久光</w:t>
            </w:r>
            <w:r w:rsidRPr="00B414A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58242" w14:textId="107637C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2E622" w14:textId="2246C2C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B414A8" w:rsidRPr="00394BD6" w14:paraId="4E6BD46F" w14:textId="77777777" w:rsidTr="00394BD6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2565" w14:textId="0BF44855" w:rsidR="00B414A8" w:rsidRPr="00394BD6" w:rsidRDefault="00B414A8" w:rsidP="00B414A8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BAE45" w14:textId="77777777" w:rsidR="00B414A8" w:rsidRPr="00394BD6" w:rsidRDefault="00B414A8" w:rsidP="00B414A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未在国内上市品种，需参照原总局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年第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230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药典委</w:t>
            </w:r>
            <w:proofErr w:type="gramEnd"/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核准后为准。</w:t>
            </w:r>
          </w:p>
          <w:p w14:paraId="24094E8E" w14:textId="77777777" w:rsidR="00B414A8" w:rsidRPr="00394BD6" w:rsidRDefault="00B414A8" w:rsidP="00B414A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53E4796B" w14:textId="77777777" w:rsidR="00B414A8" w:rsidRPr="00394BD6" w:rsidRDefault="00B414A8" w:rsidP="00B414A8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103B4FAA" w14:textId="1A4EFCCF" w:rsidR="00B414A8" w:rsidRPr="00394BD6" w:rsidRDefault="00B414A8" w:rsidP="00B414A8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</w:t>
            </w:r>
            <w:proofErr w:type="gramStart"/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未进口参</w:t>
            </w:r>
            <w:proofErr w:type="gramEnd"/>
            <w:r w:rsidRPr="00394BD6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</w:tc>
      </w:tr>
    </w:tbl>
    <w:p w14:paraId="15F4CEE3" w14:textId="77777777" w:rsidR="007F0439" w:rsidRPr="00C86D29" w:rsidRDefault="007F0439" w:rsidP="006E067C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99BE40D" w14:textId="3906F4D0" w:rsidR="00F8337F" w:rsidRPr="00C86D29" w:rsidRDefault="00F8337F" w:rsidP="008A7EBF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5C889672" w14:textId="22F62A13" w:rsidR="00F8337F" w:rsidRPr="00C86D29" w:rsidRDefault="00F8337F" w:rsidP="00F8337F">
      <w:pPr>
        <w:snapToGrid w:val="0"/>
        <w:spacing w:afterLines="150" w:after="468" w:line="600" w:lineRule="exact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</w:t>
      </w:r>
      <w:r w:rsidR="00A52DAA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参比制剂</w:t>
      </w:r>
      <w:r w:rsidR="0051629B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增补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目录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942"/>
        <w:gridCol w:w="2552"/>
        <w:gridCol w:w="2302"/>
        <w:gridCol w:w="2545"/>
        <w:gridCol w:w="2126"/>
        <w:gridCol w:w="1706"/>
      </w:tblGrid>
      <w:tr w:rsidR="00722F42" w:rsidRPr="00394BD6" w14:paraId="16FCC178" w14:textId="77777777" w:rsidTr="00394BD6">
        <w:trPr>
          <w:cantSplit/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9491B" w14:textId="77777777" w:rsidR="00722F42" w:rsidRPr="00394BD6" w:rsidRDefault="00722F42" w:rsidP="0086425B">
            <w:pPr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671FF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E74E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9607F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B4B6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C9C62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83597" w14:textId="77777777" w:rsidR="00722F42" w:rsidRPr="00394BD6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394BD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B414A8" w:rsidRPr="00394BD6" w14:paraId="65E00F2F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108F8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02EF" w14:textId="704FF08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拉考沙胺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口服溶液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779F2" w14:textId="058F449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Lacosamide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 xml:space="preserve"> Oral Solution/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Vimpat</w:t>
            </w:r>
            <w:proofErr w:type="spellEnd"/>
            <w:r>
              <w:rPr>
                <w:rFonts w:ascii="Times New Roman" w:eastAsia="仿宋_GB2312" w:hAnsi="Times New Roman" w:cs="Times New Roman" w:hint="eastAsia"/>
                <w:color w:val="333333"/>
                <w:sz w:val="24"/>
                <w:szCs w:val="24"/>
              </w:rPr>
              <w:t>（</w:t>
            </w:r>
            <w:r w:rsidRPr="00B414A8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维派特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DFAC7" w14:textId="07DCDD9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200ml:2g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A712C" w14:textId="4386750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46666" w14:textId="7E53BD3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9207B" w14:textId="0DB226E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B414A8" w:rsidRPr="00394BD6" w14:paraId="3EB6C99F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7FD84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8C84" w14:textId="33966FA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盐酸曲马多注射液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C7C71" w14:textId="27EE79A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Tramadol Hydrochloride Injection 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Tramal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（舒敏）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EE8BF" w14:textId="3B9FB90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3BE3B" w14:textId="6814F3F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Grunenthal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5A4EA" w14:textId="60E4BB5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489C9" w14:textId="33B1944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B414A8" w:rsidRPr="00394BD6" w14:paraId="05D24ECD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8CEB5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ED824" w14:textId="261C07F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沙格列汀二甲双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胍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67D25" w14:textId="0DFFAC9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Saxagliptin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Metformin Hydrochloride Sustained-release Tablets 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Kombiglyze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XR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BEAC2" w14:textId="749B29C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每片含沙格列汀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与盐酸二甲双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胍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9CC27" w14:textId="23FBC67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9A611" w14:textId="447A7F3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4D954" w14:textId="6C4C1D3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2FEAABDA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A965B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6DD60" w14:textId="62E93A1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沙格列汀二甲双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胍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III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78E2E" w14:textId="1048D7B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Saxagliptin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Metformin Hydrochloride Sustained-release Tablets 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Kombiglyze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XR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6089" w14:textId="65BDC10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每片含沙格列汀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与盐酸二甲双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胍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6234" w14:textId="6239707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E3717" w14:textId="03B9A76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42ACB" w14:textId="41CE854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4D7438CB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E9C9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779E5" w14:textId="44D9730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拉考沙胺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C10AB" w14:textId="4ACD673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Lacosamide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Vimpat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85F17" w14:textId="4C5426AD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200mg/20mL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4CFA4" w14:textId="2328457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UCB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EC210" w14:textId="3478CC6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7A07A" w14:textId="20D1874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6807AC8C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BC735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5F50C" w14:textId="71121F3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克莫司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6C16C" w14:textId="747E460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Tacrolimus Ointment/PROTOPIC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733F0" w14:textId="7C2A559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0.03%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040A6" w14:textId="6E0EBB4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Leo Pharma 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CFE90" w14:textId="51FA6CD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C77D" w14:textId="080AC00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5C018450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DF5BD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09FC" w14:textId="694FAEB1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他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克莫司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软膏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0D678" w14:textId="267D4B0D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Tacrolimus Ointment/PROTOPIC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0B632" w14:textId="4F24C98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A9EFD" w14:textId="09FFFE5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Leo Pharma 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22F72" w14:textId="025A439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F298" w14:textId="3736EBE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49A920CC" w14:textId="77777777" w:rsidTr="00394BD6">
        <w:trPr>
          <w:cantSplit/>
          <w:trHeight w:val="72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14490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0C33" w14:textId="4FF7FDA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西他赛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0C9BC" w14:textId="30217F4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Docetaxel Injection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7F688" w14:textId="6285AF9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992F4" w14:textId="667EDF81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Shilpa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Medicare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7626C" w14:textId="46F45E2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7A385" w14:textId="4F802EF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69E19656" w14:textId="77777777" w:rsidTr="00394BD6">
        <w:trPr>
          <w:cantSplit/>
          <w:trHeight w:val="72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B1AE9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43488" w14:textId="34543EB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西他赛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04814" w14:textId="145E6AB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Docetaxel Injection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1F14" w14:textId="45A84E8D" w:rsidR="00B414A8" w:rsidRPr="00B414A8" w:rsidRDefault="00B414A8" w:rsidP="00B414A8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80mg/4ml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706C0" w14:textId="25B26C81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Shilpa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Medicare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ACE57" w14:textId="2179E45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AA3C" w14:textId="2F1C8C9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689A2284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C7A0F" w14:textId="46B1362C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35FF9" w14:textId="6910E27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西他赛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BB15" w14:textId="3553A3C1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Docetaxel Injection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6F690" w14:textId="680B296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160mg/8ml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DB54D" w14:textId="25F1B41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Shilpa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Medicare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10D49" w14:textId="4808415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779D7" w14:textId="70E8E47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4CEC3B1A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1411" w14:textId="1520AC58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DC285" w14:textId="6935D1B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氟米龙滴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C22FB" w14:textId="2051DAF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Fluorometholone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Eye Drops/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Fml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0002" w14:textId="5CEFC46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7F3E9" w14:textId="5DACAFB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Pharmaceutical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31C6" w14:textId="14A3A2D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343C8" w14:textId="31BC83DD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6E1460E1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C1E09" w14:textId="33B26BD6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8E82E" w14:textId="41BF2DC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盐酸伐昔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韦片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0D4B" w14:textId="2DF098F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Valacyclovir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Tablets/Valtrex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D540" w14:textId="28A75EF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04BD" w14:textId="7B67DF9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GlaxoSimthKline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6B6AD" w14:textId="0D9D177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AF9F8" w14:textId="7C7D90B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44CFD286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4AEE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64BA" w14:textId="415B5BE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布美他尼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0C5C" w14:textId="3AF9880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Bumetanide Injection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F08A0" w14:textId="002105F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0.25mg/ml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ACED9" w14:textId="79974EA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West-Ward Pharmaceuticals International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E23D1" w14:textId="2792B26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国际公认的同种药物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B941" w14:textId="670A0A7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B414A8" w:rsidRPr="00394BD6" w14:paraId="5CF88D6A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FF405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15B2D" w14:textId="7426A56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单硝酸异山梨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酯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B4D2" w14:textId="6246541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Isosorbide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Mononitrate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Extended-Release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CD693" w14:textId="02D027D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089A9" w14:textId="48193C7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Lannett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Co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E0472" w14:textId="69974AB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3A0A" w14:textId="617BBF0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414A8" w:rsidRPr="00394BD6" w14:paraId="409684B0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5F2C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C0634" w14:textId="775B43C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氢溴酸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伏硫西汀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6F653" w14:textId="546C6B8D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Vortioxetine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Hydrobromide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Tablets/Brintellix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842C" w14:textId="295B70E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18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22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F8AC3" w14:textId="1F51309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H.Lundbeck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B4192" w14:textId="19BEAAF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F32A3" w14:textId="4AC6A6E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B414A8" w:rsidRPr="00394BD6" w14:paraId="63850D63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8FA0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1D714" w14:textId="3FDD720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氟哌啶醇注射液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4C7BF" w14:textId="48AF2D41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Haloperidol Lactate Injection/Haldol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FCE0A" w14:textId="47F8C75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045CD" w14:textId="10407A7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Cilag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SpA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2A017" w14:textId="73E43FC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46B4C" w14:textId="04234E1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B414A8" w:rsidRPr="00394BD6" w14:paraId="7BE33693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276A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8EA92" w14:textId="4DC9BFC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注射用柔红霉素阿糖胞苷脂质体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BAD72" w14:textId="7303A94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Daunorubicin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Cytarabine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liposome For Injection/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Vyxeos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liposomal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9B00D" w14:textId="122C1BE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44mg:100mg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（柔红霉素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44mg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，阿糖胞苷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3C110" w14:textId="2BA9629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Jazz Pharmaceuticals Ireland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2A3B" w14:textId="13BFB66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ABB60" w14:textId="6A14701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B414A8" w:rsidRPr="00394BD6" w14:paraId="0ABCB167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E32AB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8803" w14:textId="47F34AA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盐酸奈必洛尔片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0B648" w14:textId="6811CF2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Nebivolol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D9DCD" w14:textId="25C78B2A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BC3C5" w14:textId="75F9C55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Menarini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International Operations Luxembourg S.A.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257E6" w14:textId="53DFC4C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2EBCB" w14:textId="45F36A0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B414A8" w:rsidRPr="00394BD6" w14:paraId="08612D90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E6A0E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73FF3" w14:textId="2F3A7F0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奥卡西平片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D3534" w14:textId="74F11F1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Oxcarbazepine Tablets/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Trileptal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E355" w14:textId="431728B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40CBF" w14:textId="04ABDD8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9BF33" w14:textId="45A5079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C9C3" w14:textId="102B233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B414A8" w:rsidRPr="00394BD6" w14:paraId="368995D2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D9A1F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E6290" w14:textId="64F0DC6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奥卡西平片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81D35" w14:textId="6C2CBBD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Oxcarbazepine Tablets/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Trileptal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54D80" w14:textId="2D56D8C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F9C5" w14:textId="062D65E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CE557" w14:textId="3788056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70E39" w14:textId="4B926B7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B414A8" w:rsidRPr="00394BD6" w14:paraId="702DFCD0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BC5C7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2D66" w14:textId="5E0092E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厄他培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D79A5" w14:textId="30E6EEC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Ertapenem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For Injection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095BF" w14:textId="4E19D12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厄他培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D7BF4" w14:textId="3383AA5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Merck Sharp &amp;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928FE" w14:textId="2C079B6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65A97" w14:textId="78FA4BE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B414A8" w:rsidRPr="00394BD6" w14:paraId="3FF575C5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D50C2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01843" w14:textId="4E2D758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丙戊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酸钠缓释片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FB0DD" w14:textId="0BAFA3E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Valproate Sustained Release Tablets 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Depakene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0BEB0" w14:textId="69BAD02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04CD1" w14:textId="033195AF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協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和キリン株式会社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B076" w14:textId="09E4FCA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18418" w14:textId="6D4930C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B414A8" w:rsidRPr="00394BD6" w14:paraId="33E31796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8ACFA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0BE93" w14:textId="049CCDC6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丙戊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酸钠缓释片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BD962" w14:textId="1A66F011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Valproate Sustained Release Tablets 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Depakene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3F1F" w14:textId="7E39FDC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55CC7" w14:textId="64C2A71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協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和キリン株式会社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3A4E" w14:textId="524C21E1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A6721" w14:textId="5706E64E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B414A8" w:rsidRPr="00394BD6" w14:paraId="56612D73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CA19F" w14:textId="77777777" w:rsidR="00B414A8" w:rsidRPr="00394BD6" w:rsidRDefault="00B414A8" w:rsidP="00B414A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11938" w14:textId="201C4C3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用甲泼尼龙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琥珀酸钠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1459F" w14:textId="60F53812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Methylprednisolone Sodium Succinate for Injection 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Solu-Medrone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8BB28" w14:textId="3694736C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0B191" w14:textId="01F496C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8DED2" w14:textId="45F8D7C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8DB47" w14:textId="551E094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</w:tr>
      <w:tr w:rsidR="00B414A8" w:rsidRPr="00394BD6" w14:paraId="26A7DF29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97BF4" w14:textId="30CA0E71" w:rsidR="00B414A8" w:rsidRPr="00B414A8" w:rsidRDefault="00B414A8" w:rsidP="00B414A8">
            <w:pPr>
              <w:jc w:val="both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25-85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51E0E" w14:textId="3630E8D9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奥卡西平片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EAD77" w14:textId="7694628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Oxcarbazepine Tablets/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Trileptal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198C8" w14:textId="2F68A2B7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EEF86" w14:textId="45874D83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Novartis/Novartis Pharma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7AA5D" w14:textId="33B9AEB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FA4F3" w14:textId="084136B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B.V.</w:t>
            </w:r>
          </w:p>
        </w:tc>
      </w:tr>
      <w:tr w:rsidR="00B414A8" w:rsidRPr="00394BD6" w14:paraId="2C6D867E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EDFCE" w14:textId="57408044" w:rsidR="00B414A8" w:rsidRPr="00B414A8" w:rsidRDefault="00B414A8" w:rsidP="00B414A8">
            <w:pPr>
              <w:jc w:val="both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29-25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CB1C8" w14:textId="60859734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诺孕素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D3E98" w14:textId="00069DC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Dienogest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Visanne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7074A" w14:textId="18DFA6C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F72F4" w14:textId="570CC3D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Jenapharm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GmbH &amp; Co. KG/Bayer HealthCare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9E902" w14:textId="1FC2813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CE0EB" w14:textId="03E40EC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HealthCare</w:t>
            </w:r>
          </w:p>
        </w:tc>
      </w:tr>
      <w:tr w:rsidR="00B414A8" w:rsidRPr="00394BD6" w14:paraId="59795422" w14:textId="77777777" w:rsidTr="00394BD6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6D49D" w14:textId="7374F2B8" w:rsidR="00B414A8" w:rsidRPr="00394BD6" w:rsidRDefault="00B414A8" w:rsidP="00B414A8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32-17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747A8" w14:textId="4309091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倍他米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松磷酸钠注射液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4A97B" w14:textId="6665B36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Betamethasone Sodium Phosphate Injection/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Celestone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Celestan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Celesto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6CF64" w14:textId="0C8D14C0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4mg/ml</w:t>
            </w: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倍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他米松计）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F1BE6" w14:textId="12798B28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MSD Belgium BVBA/SPRL/MSD Sharp &amp;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Dohme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  <w:r w:rsidRPr="00B414A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/Merck Sharp &amp;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Dohme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BV/MSD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Polska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Sp. z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o.o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Organon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Healthcare GmbH/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Organon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Belgium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E27F7" w14:textId="28D830D5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FE74D" w14:textId="5EB1D10B" w:rsidR="00B414A8" w:rsidRPr="00B414A8" w:rsidRDefault="00B414A8" w:rsidP="00B414A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增加持证商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Organon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Healthcare GmbH/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Organon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Belgium</w:t>
            </w:r>
          </w:p>
        </w:tc>
      </w:tr>
      <w:tr w:rsidR="00B414A8" w:rsidRPr="00394BD6" w14:paraId="6E12BBBA" w14:textId="77777777" w:rsidTr="00394BD6">
        <w:trPr>
          <w:cantSplit/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D17D" w14:textId="27F05764" w:rsidR="00B414A8" w:rsidRPr="00394BD6" w:rsidRDefault="00B414A8" w:rsidP="00B414A8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D0C1" w14:textId="77777777" w:rsidR="00B414A8" w:rsidRPr="00394BD6" w:rsidRDefault="00B414A8" w:rsidP="00B414A8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未在国内上市品种，需参照原总局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年第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药典委</w:t>
            </w:r>
            <w:proofErr w:type="gramEnd"/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核准后为准。</w:t>
            </w:r>
          </w:p>
          <w:p w14:paraId="466C5BF2" w14:textId="77777777" w:rsidR="00B414A8" w:rsidRPr="00394BD6" w:rsidRDefault="00B414A8" w:rsidP="00B414A8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4610390B" w14:textId="77777777" w:rsidR="00B414A8" w:rsidRPr="00394BD6" w:rsidRDefault="00B414A8" w:rsidP="00B414A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666FE78B" w14:textId="77692493" w:rsidR="00B414A8" w:rsidRPr="00394BD6" w:rsidRDefault="00B414A8" w:rsidP="00B414A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选择</w:t>
            </w:r>
            <w:proofErr w:type="gramStart"/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未进口参</w:t>
            </w:r>
            <w:proofErr w:type="gramEnd"/>
            <w:r w:rsidRPr="00394BD6">
              <w:rPr>
                <w:rFonts w:ascii="Times New Roman" w:eastAsia="仿宋_GB2312" w:hAnsi="Times New Roman" w:cs="Times New Roman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</w:tc>
      </w:tr>
    </w:tbl>
    <w:p w14:paraId="150D28A8" w14:textId="77777777" w:rsidR="00784200" w:rsidRPr="00C86D29" w:rsidRDefault="00784200" w:rsidP="006E067C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784200" w:rsidRPr="00C86D29" w:rsidSect="00A8534A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A138678" w14:textId="658598C2" w:rsidR="00143519" w:rsidRPr="00C86D29" w:rsidRDefault="00143519" w:rsidP="006E067C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="00F8337F" w:rsidRPr="00C86D29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48BB04A7" w14:textId="4E5CB84D" w:rsidR="00E418BE" w:rsidRPr="00C86D29" w:rsidRDefault="00E418BE" w:rsidP="006E067C">
      <w:pPr>
        <w:snapToGrid w:val="0"/>
        <w:spacing w:afterLines="50" w:after="156" w:line="600" w:lineRule="exact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</w:t>
      </w:r>
      <w:r w:rsidR="00754E79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目录</w:t>
      </w:r>
    </w:p>
    <w:tbl>
      <w:tblPr>
        <w:tblW w:w="14601" w:type="dxa"/>
        <w:jc w:val="center"/>
        <w:tblLook w:val="04A0" w:firstRow="1" w:lastRow="0" w:firstColumn="1" w:lastColumn="0" w:noHBand="0" w:noVBand="1"/>
      </w:tblPr>
      <w:tblGrid>
        <w:gridCol w:w="861"/>
        <w:gridCol w:w="1347"/>
        <w:gridCol w:w="2624"/>
        <w:gridCol w:w="2242"/>
        <w:gridCol w:w="2156"/>
        <w:gridCol w:w="1167"/>
        <w:gridCol w:w="1055"/>
        <w:gridCol w:w="3149"/>
      </w:tblGrid>
      <w:tr w:rsidR="0048002E" w:rsidRPr="007C022D" w14:paraId="31FB3A54" w14:textId="77777777" w:rsidTr="007C022D">
        <w:trPr>
          <w:cantSplit/>
          <w:trHeight w:val="900"/>
          <w:tblHeader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028B" w14:textId="77777777" w:rsidR="0024765B" w:rsidRPr="007C022D" w:rsidRDefault="0024765B" w:rsidP="00F36F99">
            <w:pPr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9765" w14:textId="77777777" w:rsidR="0024765B" w:rsidRPr="007C022D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ABC6" w14:textId="77777777" w:rsidR="0024765B" w:rsidRPr="007C022D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英文名称</w:t>
            </w: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999B" w14:textId="77777777" w:rsidR="0024765B" w:rsidRPr="007C022D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9E83" w14:textId="77777777" w:rsidR="0024765B" w:rsidRPr="007C022D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BAD7" w14:textId="77777777" w:rsidR="0024765B" w:rsidRPr="007C022D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AD3D" w14:textId="77777777" w:rsidR="0024765B" w:rsidRPr="007C022D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BC8D" w14:textId="77777777" w:rsidR="0024765B" w:rsidRPr="007C022D" w:rsidRDefault="0024765B" w:rsidP="00EA45E2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C022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932065" w:rsidRPr="007C022D" w14:paraId="3D4D38CF" w14:textId="77777777" w:rsidTr="00B414A8">
        <w:trPr>
          <w:cantSplit/>
          <w:trHeight w:val="90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C468" w14:textId="77777777" w:rsidR="00932065" w:rsidRPr="007C022D" w:rsidRDefault="00932065" w:rsidP="0093206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AE2F" w14:textId="318F3676" w:rsidR="00932065" w:rsidRPr="00932065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3206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注射用</w:t>
            </w:r>
            <w:proofErr w:type="gramStart"/>
            <w:r w:rsidRPr="0093206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丙戊</w:t>
            </w:r>
            <w:proofErr w:type="gramEnd"/>
            <w:r w:rsidRPr="0093206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酸钠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2A33" w14:textId="5E2910D3" w:rsidR="00932065" w:rsidRPr="00932065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3206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Sodium Valproate for Injection/ </w:t>
            </w:r>
            <w:proofErr w:type="spellStart"/>
            <w:r w:rsidRPr="0093206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Depakine</w:t>
            </w:r>
            <w:proofErr w:type="spellEnd"/>
            <w:r w:rsidRPr="0093206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（德巴金）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BA4B" w14:textId="68776530" w:rsidR="00932065" w:rsidRPr="00932065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3206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0.4g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D24C" w14:textId="4771C9EA" w:rsidR="00932065" w:rsidRPr="00932065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3206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Sanofi Aventis Deutschland GmbH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7B9C" w14:textId="735BE9ED" w:rsidR="00932065" w:rsidRPr="00932065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3206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ECE2" w14:textId="282A13B9" w:rsidR="00932065" w:rsidRPr="00932065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3206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7271" w14:textId="704F4132" w:rsidR="00932065" w:rsidRPr="00932065" w:rsidRDefault="00FF2AEC" w:rsidP="00CF12DF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F12D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</w:t>
            </w:r>
            <w:r w:rsidR="007A4D25" w:rsidRPr="00CF12D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</w:t>
            </w:r>
            <w:r w:rsidR="00EC3ADB" w:rsidRPr="00CF12D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已</w:t>
            </w:r>
            <w:r w:rsidR="00EC3ADB" w:rsidRPr="00CF12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</w:t>
            </w:r>
            <w:r w:rsidR="007A4D25" w:rsidRPr="00CF12D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可耐受终端灭菌</w:t>
            </w:r>
            <w:r w:rsidR="00EC3ADB" w:rsidRPr="00CF12D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的</w:t>
            </w:r>
            <w:r w:rsidR="00CF12DF" w:rsidRPr="00CF12D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  <w:r w:rsidR="00EC3ADB" w:rsidRPr="00CF12D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获批</w:t>
            </w:r>
            <w:r w:rsidR="00EC3ADB" w:rsidRPr="00CF12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</w:t>
            </w:r>
            <w:r w:rsidR="00270B84" w:rsidRPr="00CF12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CF12D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审议未通过。</w:t>
            </w:r>
          </w:p>
        </w:tc>
      </w:tr>
      <w:tr w:rsidR="00932065" w:rsidRPr="007C022D" w14:paraId="560AA0B2" w14:textId="77777777" w:rsidTr="00B414A8">
        <w:trPr>
          <w:cantSplit/>
          <w:trHeight w:val="90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843D" w14:textId="77777777" w:rsidR="00932065" w:rsidRPr="007C022D" w:rsidRDefault="00932065" w:rsidP="0093206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CC2A" w14:textId="22426818" w:rsidR="00932065" w:rsidRPr="00932065" w:rsidRDefault="00932065" w:rsidP="00932065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诺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克辛滴眼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1CFB" w14:textId="68A02C18" w:rsidR="00932065" w:rsidRPr="00932065" w:rsidRDefault="00932065" w:rsidP="00932065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Pirenoxine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Eye Drops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AC18" w14:textId="63C88A94" w:rsidR="00932065" w:rsidRPr="00932065" w:rsidRDefault="00932065" w:rsidP="00932065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0.75mg</w:t>
            </w: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87mg/</w:t>
            </w: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包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CAAB" w14:textId="1F794541" w:rsidR="00932065" w:rsidRPr="00932065" w:rsidRDefault="00932065" w:rsidP="00932065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Senju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Co.,Ltd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D392" w14:textId="0A62A143" w:rsidR="00932065" w:rsidRPr="00932065" w:rsidRDefault="00932065" w:rsidP="00932065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4C86" w14:textId="04D1483B" w:rsidR="00932065" w:rsidRPr="00932065" w:rsidRDefault="00932065" w:rsidP="00932065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8B45" w14:textId="53D282FF" w:rsidR="00932065" w:rsidRPr="00932065" w:rsidRDefault="00C60F65" w:rsidP="00C60F65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0F6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经一致性评价专家委员会审议，拟申请参比制剂缺乏完整充分的有效性数据，审议未通过。</w:t>
            </w:r>
          </w:p>
        </w:tc>
      </w:tr>
      <w:tr w:rsidR="00932065" w:rsidRPr="007C022D" w14:paraId="49B03276" w14:textId="77777777" w:rsidTr="00B414A8">
        <w:trPr>
          <w:cantSplit/>
          <w:trHeight w:val="90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EC89" w14:textId="77777777" w:rsidR="00932065" w:rsidRPr="007C022D" w:rsidRDefault="00932065" w:rsidP="0093206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1058" w14:textId="06870F9D" w:rsidR="00932065" w:rsidRPr="00B414A8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盐酸利多卡因肾上腺素注射液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23D" w14:textId="066EA845" w:rsidR="00932065" w:rsidRPr="00B414A8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Lidocaine Hydrochloride and Epinephrine Injection/Xylocaine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C1C9" w14:textId="5E3A1550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1%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盐酸利多卡因和肾上腺素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0.005mg/ml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1BA2" w14:textId="75508B61" w:rsidR="00932065" w:rsidRPr="00B414A8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Fresenius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Kabi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USA LLC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C0A2" w14:textId="2E0008F7" w:rsidR="00932065" w:rsidRPr="00B414A8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C31" w14:textId="5264C7F7" w:rsidR="00932065" w:rsidRPr="00B414A8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A8A9" w14:textId="6B7AEEC1" w:rsidR="00932065" w:rsidRPr="00932065" w:rsidRDefault="00C60F65" w:rsidP="00BC09BD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0F6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</w:t>
            </w:r>
            <w:r w:rsidR="0035318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</w:t>
            </w:r>
            <w:r w:rsidR="0035318A" w:rsidRPr="0035318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立题依据</w:t>
            </w:r>
            <w:r w:rsidR="0035318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不充分，</w:t>
            </w:r>
            <w:r w:rsidR="00BC09B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且</w:t>
            </w:r>
            <w:r w:rsidR="00344C5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根据情况临用配制可满足</w:t>
            </w:r>
            <w:r w:rsidR="00BC09B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临床需求</w:t>
            </w:r>
            <w:r w:rsidRPr="00C60F6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，审议未通过。</w:t>
            </w:r>
          </w:p>
        </w:tc>
      </w:tr>
      <w:tr w:rsidR="00932065" w:rsidRPr="007C022D" w14:paraId="56C6B9AF" w14:textId="77777777" w:rsidTr="00B414A8">
        <w:trPr>
          <w:cantSplit/>
          <w:trHeight w:val="90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D598" w14:textId="77777777" w:rsidR="00932065" w:rsidRPr="007C022D" w:rsidRDefault="00932065" w:rsidP="0093206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07C0" w14:textId="2ABA3821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盐酸伐昔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韦片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414B" w14:textId="45080BC6" w:rsidR="00932065" w:rsidRPr="00B414A8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Valacyclovir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Tablets/Valtrex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AD58" w14:textId="60B89733" w:rsidR="00932065" w:rsidRPr="00B414A8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CD4D" w14:textId="248D6B6D" w:rsidR="00932065" w:rsidRPr="00B414A8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GlaxoSimthKline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F5FC" w14:textId="605EFDA7" w:rsidR="00932065" w:rsidRPr="00B414A8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BDDC" w14:textId="3735CD54" w:rsidR="00932065" w:rsidRPr="00B414A8" w:rsidRDefault="00932065" w:rsidP="0093206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5752" w14:textId="7F57B9E3" w:rsidR="00932065" w:rsidRPr="00932065" w:rsidRDefault="007A4D25" w:rsidP="00932065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A4D25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经一致性评价专家委员会审议，该规格超过常规单次给药用量，审议未通过。</w:t>
            </w:r>
          </w:p>
        </w:tc>
      </w:tr>
      <w:tr w:rsidR="00932065" w:rsidRPr="007C022D" w14:paraId="1FA5B171" w14:textId="77777777" w:rsidTr="00B414A8">
        <w:trPr>
          <w:cantSplit/>
          <w:trHeight w:val="90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FAB3" w14:textId="77777777" w:rsidR="00932065" w:rsidRPr="007C022D" w:rsidRDefault="00932065" w:rsidP="0093206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68FD" w14:textId="21F9C0F0" w:rsidR="00932065" w:rsidRPr="00932065" w:rsidRDefault="00932065" w:rsidP="00932065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甲硝唑阴道凝胶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8214" w14:textId="056B7708" w:rsidR="00932065" w:rsidRPr="00932065" w:rsidRDefault="00932065" w:rsidP="00932065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Metronidazole Vaginal Gel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471B" w14:textId="06C21818" w:rsidR="00932065" w:rsidRPr="00932065" w:rsidRDefault="00932065" w:rsidP="00932065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0.75%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AACE" w14:textId="5F230E4F" w:rsidR="00932065" w:rsidRPr="00932065" w:rsidRDefault="00932065" w:rsidP="00932065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Oceanside Pharmaceuticals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6C11" w14:textId="5EE8D260" w:rsidR="00932065" w:rsidRPr="00932065" w:rsidRDefault="00932065" w:rsidP="00932065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原研授权仿制药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89BE" w14:textId="77777777" w:rsidR="00932065" w:rsidRPr="00932065" w:rsidRDefault="00932065" w:rsidP="00932065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EF06" w14:textId="24DB9960" w:rsidR="00932065" w:rsidRPr="00932065" w:rsidRDefault="00932065" w:rsidP="00932065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3206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经一致性评价专家委员会审议，拟申请参比制剂为美国上市的仿制药，不具有参比制剂地位，审议未通过。</w:t>
            </w:r>
          </w:p>
        </w:tc>
      </w:tr>
      <w:tr w:rsidR="00932065" w:rsidRPr="007C022D" w14:paraId="0CE556F2" w14:textId="77777777" w:rsidTr="00B414A8">
        <w:trPr>
          <w:cantSplit/>
          <w:trHeight w:val="90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6F21" w14:textId="77777777" w:rsidR="00932065" w:rsidRPr="007C022D" w:rsidRDefault="00932065" w:rsidP="0093206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0175" w14:textId="528F1390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3206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盐酸异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丙肾上腺素注射液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AF62" w14:textId="55EE6E2D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Isoproterenol Hydrochloride Injection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202F" w14:textId="37059FA5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0.2mg/ml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A643" w14:textId="6DCA5AF9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Oceanside Pharmaceuticals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FD22" w14:textId="07110117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原研授权仿制药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BBF2" w14:textId="1BA0824D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0E67" w14:textId="326381EF" w:rsidR="00932065" w:rsidRPr="00932065" w:rsidRDefault="00932065" w:rsidP="00932065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206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经一致性评价专家委员会审议，拟申请参比制剂为美国上市的仿制药，不具有参比制剂地位，审议未通过。</w:t>
            </w:r>
          </w:p>
        </w:tc>
      </w:tr>
      <w:tr w:rsidR="00932065" w:rsidRPr="007C022D" w14:paraId="302DF2D7" w14:textId="77777777" w:rsidTr="00B414A8">
        <w:trPr>
          <w:cantSplit/>
          <w:trHeight w:val="90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C469" w14:textId="77777777" w:rsidR="00932065" w:rsidRPr="007C022D" w:rsidRDefault="00932065" w:rsidP="0093206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C857" w14:textId="7591B560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类肝素乳液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5D11" w14:textId="7DA83F42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Hirudoid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Lotion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1624" w14:textId="78392932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0.3%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2910" w14:textId="2CCE2EA8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玛路弘</w:t>
            </w:r>
            <w:proofErr w:type="gramEnd"/>
            <w:r w:rsidRPr="00B414A8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22D2" w14:textId="3A8FC83B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7F8C" w14:textId="273769A4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EC9C" w14:textId="35F9834A" w:rsidR="00932065" w:rsidRPr="00932065" w:rsidRDefault="00932065" w:rsidP="00932065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3206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经一致性评价专家委员会审议，拟申请参比制剂为日本上市的仿制药，缺乏完整充分的安全有效性数据，审议未通过。</w:t>
            </w:r>
          </w:p>
        </w:tc>
      </w:tr>
      <w:tr w:rsidR="00932065" w:rsidRPr="007C022D" w14:paraId="4CBC8926" w14:textId="77777777" w:rsidTr="00B414A8">
        <w:trPr>
          <w:cantSplit/>
          <w:trHeight w:val="90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907A" w14:textId="77777777" w:rsidR="00932065" w:rsidRPr="007C022D" w:rsidRDefault="00932065" w:rsidP="0093206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613A" w14:textId="3033F24F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多黏菌素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磺酸钠散</w:t>
            </w:r>
            <w:proofErr w:type="gramEnd"/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BDCC" w14:textId="5CE33ADB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Colistin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Sodium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Methanesulfonat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F8C7" w14:textId="3B3B221A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万单位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/g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B093" w14:textId="7465134F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サンファ</w:t>
            </w:r>
            <w:r w:rsidRPr="00B414A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DFC7" w14:textId="7FF39054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B01B" w14:textId="2D9D3AAC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DB59" w14:textId="2D7DC5BC" w:rsidR="00932065" w:rsidRPr="00932065" w:rsidRDefault="00932065" w:rsidP="00932065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3206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经一致性评价专家委员会审议，拟申请参比制剂为日本上市的仿制药，缺乏完整充分的安全有效性数据，审议未通过。</w:t>
            </w:r>
          </w:p>
        </w:tc>
      </w:tr>
      <w:tr w:rsidR="00932065" w:rsidRPr="007C022D" w14:paraId="7345BF1C" w14:textId="77777777" w:rsidTr="00B414A8">
        <w:trPr>
          <w:cantSplit/>
          <w:trHeight w:val="90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B916" w14:textId="77777777" w:rsidR="00932065" w:rsidRPr="007C022D" w:rsidRDefault="00932065" w:rsidP="0093206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6C4A" w14:textId="08D0A405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三磷酸腺苷二钠注射液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30EC" w14:textId="3C67F725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Adenosine Disodium Triphosphate for Injection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7FA4" w14:textId="25472A3E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6902" w14:textId="5CD37853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ト</w:t>
            </w:r>
            <w:r w:rsidRPr="00B414A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アエイヨ</w:t>
            </w:r>
            <w:r w:rsidRPr="00B414A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2E91" w14:textId="1474FB34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5D65" w14:textId="3B597306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DB0A" w14:textId="0973D52F" w:rsidR="00932065" w:rsidRPr="00932065" w:rsidRDefault="00932065" w:rsidP="00932065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3206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经一致性评价专家委员会审议，拟申请参比制剂为日本上市的仿制药，缺乏完整充分的安全有效性数据，审议未通过。</w:t>
            </w:r>
          </w:p>
        </w:tc>
      </w:tr>
      <w:tr w:rsidR="00932065" w:rsidRPr="007C022D" w14:paraId="0B429AAA" w14:textId="77777777" w:rsidTr="00B414A8">
        <w:trPr>
          <w:cantSplit/>
          <w:trHeight w:val="90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EC1E" w14:textId="77777777" w:rsidR="00932065" w:rsidRPr="007C022D" w:rsidRDefault="00932065" w:rsidP="0093206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06CE" w14:textId="66086684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三磷酸腺苷二钠注射液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C063" w14:textId="3D01D4AB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Adenosine Disodium Triphosphate for Injection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6E9A" w14:textId="1C26003F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0593" w14:textId="649B86B6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ト</w:t>
            </w:r>
            <w:r w:rsidRPr="00B414A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アエイヨ</w:t>
            </w:r>
            <w:r w:rsidRPr="00B414A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CD83" w14:textId="66D5C198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731" w14:textId="02F751B1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B5A1" w14:textId="3BBDA9FF" w:rsidR="00932065" w:rsidRPr="00932065" w:rsidRDefault="00932065" w:rsidP="00932065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3206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932065" w:rsidRPr="007C022D" w14:paraId="4506B9FC" w14:textId="77777777" w:rsidTr="00B414A8">
        <w:trPr>
          <w:cantSplit/>
          <w:trHeight w:val="90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D059" w14:textId="77777777" w:rsidR="00932065" w:rsidRPr="007C022D" w:rsidRDefault="00932065" w:rsidP="0093206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C6EA" w14:textId="2734B6F1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盐酸帕洛诺司琼注射液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DE05" w14:textId="3859E82A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Palonosetron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Injection/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Aloxi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2596" w14:textId="7C544CED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0.075mg:1.5ml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0.05mg/ml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）（以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19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24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8EB5" w14:textId="3ED26DC1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Mundipharma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Pte</w:t>
            </w:r>
            <w:proofErr w:type="spell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Ltd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9DD4" w14:textId="3170DDE7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B365" w14:textId="394CD49E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新加坡上市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A52" w14:textId="623D40A0" w:rsidR="00932065" w:rsidRPr="00932065" w:rsidRDefault="00932065" w:rsidP="00DB4D73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B4D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经一致性评价专家委员会审议，拟申请参比制剂为新加坡上市的仿制药，不具有参比制剂地</w:t>
            </w:r>
            <w:r w:rsidRPr="0093206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位，审议未通过。</w:t>
            </w:r>
          </w:p>
        </w:tc>
      </w:tr>
      <w:tr w:rsidR="00932065" w:rsidRPr="007C022D" w14:paraId="0FB30CFF" w14:textId="77777777" w:rsidTr="00B414A8">
        <w:trPr>
          <w:cantSplit/>
          <w:trHeight w:val="90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8E64" w14:textId="77777777" w:rsidR="00932065" w:rsidRPr="007C022D" w:rsidRDefault="00932065" w:rsidP="0093206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62BB" w14:textId="0B0B8E68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缬沙坦氨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氯地平片（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II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4F96" w14:textId="5562DE82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Valsartan and Amlodipine Tablets 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II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1B6A" w14:textId="4CFEF9F1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</w:t>
            </w:r>
            <w:proofErr w:type="gramStart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缬沙坦</w:t>
            </w:r>
            <w:proofErr w:type="gramEnd"/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160mg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，氨氯地平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76F8" w14:textId="6CC76EC9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AG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Basle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Switzerland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CA2E" w14:textId="48802C2B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287F" w14:textId="39F205DD" w:rsidR="00932065" w:rsidRPr="00B414A8" w:rsidRDefault="00932065" w:rsidP="0093206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14A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中国香港上市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452F" w14:textId="28B7F234" w:rsidR="00932065" w:rsidRPr="00932065" w:rsidRDefault="00932065" w:rsidP="0067231A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A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</w:t>
            </w:r>
            <w:r w:rsidR="0067231A" w:rsidRPr="002934A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拟申请</w:t>
            </w:r>
            <w:r w:rsidR="0067231A" w:rsidRPr="002934A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参比制剂不符合国家局发布的</w:t>
            </w:r>
            <w:r w:rsidR="0067231A" w:rsidRPr="002934A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25</w:t>
            </w:r>
            <w:r w:rsidR="0067231A" w:rsidRPr="002934A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号</w:t>
            </w:r>
            <w:r w:rsidR="0067231A" w:rsidRPr="002934A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公告的遴选原则，</w:t>
            </w:r>
            <w:r w:rsidRPr="002934A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审议未通过。</w:t>
            </w:r>
          </w:p>
        </w:tc>
      </w:tr>
    </w:tbl>
    <w:p w14:paraId="28F793E7" w14:textId="77777777" w:rsidR="00932065" w:rsidRDefault="00932065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br w:type="page"/>
      </w:r>
    </w:p>
    <w:p w14:paraId="7767CEA7" w14:textId="7E885C2A" w:rsidR="00C509B3" w:rsidRPr="00C86D29" w:rsidRDefault="00C509B3" w:rsidP="00C509B3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="006A08B7">
        <w:rPr>
          <w:rFonts w:ascii="Times New Roman" w:eastAsia="黑体" w:hAnsi="Times New Roman" w:cs="Times New Roman" w:hint="eastAsia"/>
          <w:kern w:val="0"/>
          <w:sz w:val="32"/>
          <w:szCs w:val="32"/>
        </w:rPr>
        <w:t>4</w:t>
      </w:r>
    </w:p>
    <w:p w14:paraId="646FD287" w14:textId="7C4F791F" w:rsidR="00C509B3" w:rsidRPr="00C86D29" w:rsidRDefault="00C509B3" w:rsidP="00C509B3">
      <w:pPr>
        <w:snapToGrid w:val="0"/>
        <w:spacing w:afterLines="50" w:after="156" w:line="600" w:lineRule="exact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已发布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参比制剂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调出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品种</w:t>
      </w:r>
      <w:r w:rsidRPr="00F742D7">
        <w:rPr>
          <w:rFonts w:ascii="Times New Roman" w:eastAsia="方正小标宋简体" w:hAnsi="Times New Roman" w:cs="Times New Roman"/>
          <w:kern w:val="0"/>
          <w:sz w:val="36"/>
          <w:szCs w:val="36"/>
        </w:rPr>
        <w:t>目录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1032"/>
        <w:gridCol w:w="1937"/>
        <w:gridCol w:w="1417"/>
        <w:gridCol w:w="2127"/>
        <w:gridCol w:w="1417"/>
        <w:gridCol w:w="1701"/>
        <w:gridCol w:w="3832"/>
      </w:tblGrid>
      <w:tr w:rsidR="00D801BD" w:rsidRPr="00C509B3" w14:paraId="6E048D3D" w14:textId="163D112C" w:rsidTr="0067231A">
        <w:trPr>
          <w:trHeight w:val="855"/>
          <w:tblHeader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4946" w14:textId="41A4960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B382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85B18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C509B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C509B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8288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7AF2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39BB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C509B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8E08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C509B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88B6B" w14:textId="226C830C" w:rsidR="00D801BD" w:rsidRPr="00C509B3" w:rsidRDefault="0067231A" w:rsidP="00C509B3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调出</w:t>
            </w:r>
            <w:r w:rsidRPr="003861D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情况说明</w:t>
            </w:r>
          </w:p>
        </w:tc>
      </w:tr>
      <w:tr w:rsidR="00D801BD" w:rsidRPr="00C509B3" w14:paraId="1D6BD1E2" w14:textId="0B9957D3" w:rsidTr="0067231A">
        <w:trPr>
          <w:trHeight w:val="111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502D" w14:textId="0B1FA050" w:rsidR="00D801BD" w:rsidRPr="00077592" w:rsidRDefault="00D801BD" w:rsidP="00C509B3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7759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27-271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A14C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</w:t>
            </w:r>
            <w:proofErr w:type="gram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奥沙利铂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9703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Oxaliplatin</w:t>
            </w:r>
            <w:proofErr w:type="spell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for Injection /</w:t>
            </w:r>
            <w:proofErr w:type="gram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乐沙定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FC9E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31E3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Sanofi-Aventis France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9652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C538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AE5DD" w14:textId="5CCE44A8" w:rsidR="00D801BD" w:rsidRPr="00C509B3" w:rsidRDefault="0067231A" w:rsidP="0067231A">
            <w:pPr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723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经一致性评价专家委员会审议，拟调出参比制剂因采用终端灭菌工艺制备的</w:t>
            </w:r>
            <w:proofErr w:type="gramStart"/>
            <w:r w:rsidRPr="006723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奥沙利铂</w:t>
            </w:r>
            <w:proofErr w:type="gramEnd"/>
            <w:r w:rsidRPr="006723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注射液可以满足产品杂质控制及稳定性要求，</w:t>
            </w:r>
            <w:proofErr w:type="gramStart"/>
            <w:r w:rsidRPr="006723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奥沙利铂</w:t>
            </w:r>
            <w:proofErr w:type="gramEnd"/>
            <w:r w:rsidRPr="006723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注射剂应首选终端灭菌的注射液，注射用</w:t>
            </w:r>
            <w:proofErr w:type="gramStart"/>
            <w:r w:rsidRPr="006723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奥沙利铂</w:t>
            </w:r>
            <w:proofErr w:type="gramEnd"/>
            <w:r w:rsidRPr="0067231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为不合理剂型，予以调出。</w:t>
            </w:r>
          </w:p>
        </w:tc>
      </w:tr>
      <w:tr w:rsidR="00D801BD" w:rsidRPr="00C509B3" w14:paraId="0B0F09B5" w14:textId="46E10934" w:rsidTr="0067231A">
        <w:trPr>
          <w:trHeight w:val="10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8B17" w14:textId="601C0E4F" w:rsidR="00D801BD" w:rsidRPr="00077592" w:rsidRDefault="00D801BD" w:rsidP="00C509B3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7759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23-227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CFD8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注射用奥扎格雷钠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46D2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Ozagrel</w:t>
            </w:r>
            <w:proofErr w:type="spell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Sodium For </w:t>
            </w: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Lnjection</w:t>
            </w:r>
            <w:proofErr w:type="spell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/XANBON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A65A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B026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キッセイ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薬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品工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業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7966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FE7E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上市国</w:t>
            </w:r>
            <w:proofErr w:type="gram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AF964" w14:textId="7CB81C7B" w:rsidR="00D801BD" w:rsidRPr="00C509B3" w:rsidRDefault="0054636A" w:rsidP="0054636A">
            <w:pPr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4636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经一致性评价专家委员会审议，拟调出参比制剂因仿制注射液可耐受过度杀灭，</w:t>
            </w:r>
            <w:proofErr w:type="gramStart"/>
            <w:r w:rsidRPr="0054636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现参比</w:t>
            </w:r>
            <w:proofErr w:type="gramEnd"/>
            <w:r w:rsidRPr="0054636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制剂剂型不合理，予以调出。</w:t>
            </w:r>
          </w:p>
        </w:tc>
      </w:tr>
      <w:tr w:rsidR="00D801BD" w:rsidRPr="00C509B3" w14:paraId="659D3253" w14:textId="05AE4195" w:rsidTr="0067231A">
        <w:trPr>
          <w:trHeight w:val="109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27BD" w14:textId="0527A1A2" w:rsidR="00D801BD" w:rsidRPr="00077592" w:rsidRDefault="00D801BD" w:rsidP="00C509B3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7759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23-228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655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注射用奥扎格雷钠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190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Ozagrel</w:t>
            </w:r>
            <w:proofErr w:type="spell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Sodium For </w:t>
            </w: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Lnjection</w:t>
            </w:r>
            <w:proofErr w:type="spell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/CATACLOT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6BA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F940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丸石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製薬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株式会社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小野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薬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品工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業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D142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B5FC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上市国</w:t>
            </w:r>
            <w:proofErr w:type="gram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692DA" w14:textId="4A000CDA" w:rsidR="00D801BD" w:rsidRPr="00C509B3" w:rsidRDefault="0054636A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同上。</w:t>
            </w:r>
          </w:p>
        </w:tc>
      </w:tr>
      <w:tr w:rsidR="00D801BD" w:rsidRPr="00C509B3" w14:paraId="0F9446FC" w14:textId="420C5EA2" w:rsidTr="0067231A">
        <w:trPr>
          <w:trHeight w:val="78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9AE" w14:textId="1582FAA6" w:rsidR="00D801BD" w:rsidRPr="00077592" w:rsidRDefault="00D801BD" w:rsidP="00C509B3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7759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23-229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EE5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注射用奥扎格雷钠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AC9B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Ozagrel</w:t>
            </w:r>
            <w:proofErr w:type="spell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Sodium For </w:t>
            </w: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Lnjection</w:t>
            </w:r>
            <w:proofErr w:type="spell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/XANBON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1FD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40mg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8BEB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キッセイ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薬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品工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業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9B60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8605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上市国</w:t>
            </w:r>
            <w:proofErr w:type="gram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7317C" w14:textId="35863CB7" w:rsidR="00D801BD" w:rsidRPr="00C509B3" w:rsidRDefault="0054636A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同上。</w:t>
            </w:r>
          </w:p>
        </w:tc>
      </w:tr>
      <w:tr w:rsidR="00D801BD" w:rsidRPr="00C509B3" w14:paraId="3CE580FA" w14:textId="16524A93" w:rsidTr="0067231A">
        <w:trPr>
          <w:trHeight w:val="114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EADE" w14:textId="09425D11" w:rsidR="00D801BD" w:rsidRPr="00077592" w:rsidRDefault="00D801BD" w:rsidP="00C509B3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7759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23-230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EC3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注射用奥扎格雷钠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00E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Ozagrel</w:t>
            </w:r>
            <w:proofErr w:type="spell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Sodium For </w:t>
            </w: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Lnjection</w:t>
            </w:r>
            <w:proofErr w:type="spell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/CATACLOT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D488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40mg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5160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丸石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製薬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株式会社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小野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薬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品工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業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C642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D1E0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上市国</w:t>
            </w:r>
            <w:proofErr w:type="gram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3ABDC" w14:textId="1704EC89" w:rsidR="00D801BD" w:rsidRPr="00C509B3" w:rsidRDefault="0054636A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同上。</w:t>
            </w:r>
          </w:p>
        </w:tc>
      </w:tr>
      <w:tr w:rsidR="00D801BD" w:rsidRPr="00C509B3" w14:paraId="2307521E" w14:textId="1DE51B8C" w:rsidTr="0067231A">
        <w:trPr>
          <w:trHeight w:val="111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C160" w14:textId="4CEB5B52" w:rsidR="00D801BD" w:rsidRPr="00077592" w:rsidRDefault="00D801BD" w:rsidP="00C509B3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7759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26-88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4F73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奥扎格雷钠注射液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4DE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Ozagrel</w:t>
            </w:r>
            <w:proofErr w:type="spell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Sodium Injection/</w:t>
            </w: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Cataclot,Xanbon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D8A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20mg/2.5ml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0864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丸石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製薬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株式会社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キッセイ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薬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品工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業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EC8C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A4C8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日本上市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E90D0" w14:textId="4DB0F81B" w:rsidR="00D801BD" w:rsidRPr="00C509B3" w:rsidRDefault="0054636A" w:rsidP="0054636A">
            <w:pPr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40F1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经一致性评价专家委员会审议，拟调出参比制剂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因仿制</w:t>
            </w:r>
            <w:r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  <w:t>注射液可耐受过度杀灭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  <w:t>参比</w:t>
            </w:r>
            <w:proofErr w:type="gramEnd"/>
            <w:r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  <w:t>制剂</w:t>
            </w:r>
            <w:r w:rsidRPr="00FD7AE4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采用聚乙烯安瓿包装</w:t>
            </w:r>
            <w:r w:rsidRPr="00C440F1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  <w:t>耐受</w:t>
            </w: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过度杀灭，</w:t>
            </w:r>
            <w:r w:rsidRPr="00C440F1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予以调出。</w:t>
            </w:r>
          </w:p>
        </w:tc>
      </w:tr>
      <w:tr w:rsidR="00D801BD" w:rsidRPr="00C509B3" w14:paraId="1D067C32" w14:textId="3BE67C4A" w:rsidTr="0067231A">
        <w:trPr>
          <w:trHeight w:val="97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0AFC" w14:textId="139CF994" w:rsidR="00D801BD" w:rsidRPr="00077592" w:rsidRDefault="00D801BD" w:rsidP="00C509B3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7759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26-89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4755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奥扎格雷钠注射液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D01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Ozagrel</w:t>
            </w:r>
            <w:proofErr w:type="spell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Sodium Injection/</w:t>
            </w: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Cataclot,Xanbon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0E3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40mg/5ml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FEB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丸石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製薬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株式会社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キッセイ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薬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品工</w:t>
            </w:r>
            <w:r w:rsidRPr="00C509B3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業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60D7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E31B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日本上市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AFF1F" w14:textId="270677AD" w:rsidR="00D801BD" w:rsidRPr="00C509B3" w:rsidRDefault="0054636A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同上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D801BD" w:rsidRPr="00C509B3" w14:paraId="6DB301B5" w14:textId="365A12BE" w:rsidTr="0067231A">
        <w:trPr>
          <w:trHeight w:val="120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4788" w14:textId="133A0D21" w:rsidR="00D801BD" w:rsidRPr="00077592" w:rsidRDefault="00D801BD" w:rsidP="00C509B3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7759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27-251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D2F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</w:t>
            </w:r>
            <w:proofErr w:type="gram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氨溴索吸入</w:t>
            </w:r>
            <w:proofErr w:type="gram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溶液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034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Ambroxol</w:t>
            </w:r>
            <w:proofErr w:type="spell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Hydrochloride Solution for Inhalation /</w:t>
            </w: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Mucosolvan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A92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15mg/2ml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750mg/100ml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7.5g/1000ml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AA4C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Sanofi-Aventis Deutschland GmbH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F57D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61A7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CBA1" w14:textId="50447E07" w:rsidR="00D801BD" w:rsidRPr="00C509B3" w:rsidRDefault="00E21127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4636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经一致性评价专家委员会审议，拟调出参比制剂因不符合中国药典吸入制剂通则关于“吸入液体制剂应为无菌制剂”的要求，予以调出。</w:t>
            </w:r>
          </w:p>
        </w:tc>
      </w:tr>
      <w:tr w:rsidR="00D801BD" w:rsidRPr="00C509B3" w14:paraId="6731B3A5" w14:textId="32C9B9B4" w:rsidTr="0067231A">
        <w:trPr>
          <w:trHeight w:val="90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38A" w14:textId="7DAD1AC7" w:rsidR="00D801BD" w:rsidRPr="00077592" w:rsidRDefault="00D801BD" w:rsidP="00C509B3">
            <w:pP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7759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26-227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1D11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吸入用硫酸沙丁胺醇溶液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E43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Salbutamol Sulfate Inhalation Solution/Ventolin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E833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5mg/ml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（以沙丁胺醇计）（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20ml</w:t>
            </w: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76B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Glaxosmithkline</w:t>
            </w:r>
            <w:proofErr w:type="spell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/Glaxo </w:t>
            </w:r>
            <w:proofErr w:type="spell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Wellcome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AB3D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E973" w14:textId="77777777" w:rsidR="00D801BD" w:rsidRPr="00C509B3" w:rsidRDefault="00D801BD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509B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5FC8A" w14:textId="5CA73AD6" w:rsidR="00D801BD" w:rsidRPr="00C509B3" w:rsidRDefault="0054636A" w:rsidP="00C509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4636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经一致性评价专家委员会审议，拟调出参比制剂因不符合中国药典吸入制剂通则关于“吸入液体制剂应为无菌制剂”的要求，予以调出。</w:t>
            </w:r>
          </w:p>
        </w:tc>
      </w:tr>
    </w:tbl>
    <w:p w14:paraId="7DCE18D9" w14:textId="77777777" w:rsidR="003735CD" w:rsidRDefault="003735CD" w:rsidP="007C022D">
      <w:pPr>
        <w:jc w:val="both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sectPr w:rsidR="003735CD" w:rsidSect="002476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3A781" w14:textId="77777777" w:rsidR="00D373F9" w:rsidRDefault="00D373F9" w:rsidP="005F1836">
      <w:r>
        <w:separator/>
      </w:r>
    </w:p>
  </w:endnote>
  <w:endnote w:type="continuationSeparator" w:id="0">
    <w:p w14:paraId="1BC4B5F6" w14:textId="77777777" w:rsidR="00D373F9" w:rsidRDefault="00D373F9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51A5832A" w:rsidR="00B0227D" w:rsidRPr="005F1836" w:rsidRDefault="00B0227D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08B7" w:rsidRPr="006A08B7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15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925B2" w14:textId="77777777" w:rsidR="00D373F9" w:rsidRDefault="00D373F9" w:rsidP="005F1836">
      <w:r>
        <w:separator/>
      </w:r>
    </w:p>
  </w:footnote>
  <w:footnote w:type="continuationSeparator" w:id="0">
    <w:p w14:paraId="15C44A56" w14:textId="77777777" w:rsidR="00D373F9" w:rsidRDefault="00D373F9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5C2150"/>
    <w:multiLevelType w:val="hybridMultilevel"/>
    <w:tmpl w:val="CEF402D2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B10B4"/>
    <w:multiLevelType w:val="hybridMultilevel"/>
    <w:tmpl w:val="06E26BAE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455177"/>
    <w:multiLevelType w:val="hybridMultilevel"/>
    <w:tmpl w:val="ED24310A"/>
    <w:lvl w:ilvl="0" w:tplc="7E08684E">
      <w:start w:val="1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CA6309"/>
    <w:multiLevelType w:val="hybridMultilevel"/>
    <w:tmpl w:val="24B0FE92"/>
    <w:lvl w:ilvl="0" w:tplc="92F06ED4">
      <w:start w:val="1"/>
      <w:numFmt w:val="decimal"/>
      <w:lvlText w:val="46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DE51D1"/>
    <w:multiLevelType w:val="hybridMultilevel"/>
    <w:tmpl w:val="5B2AC5C2"/>
    <w:lvl w:ilvl="0" w:tplc="2102A64E">
      <w:start w:val="1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8C7367"/>
    <w:multiLevelType w:val="hybridMultilevel"/>
    <w:tmpl w:val="F61C3D80"/>
    <w:lvl w:ilvl="0" w:tplc="4BAA076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D4532"/>
    <w:multiLevelType w:val="hybridMultilevel"/>
    <w:tmpl w:val="CA6658E0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576106"/>
    <w:multiLevelType w:val="hybridMultilevel"/>
    <w:tmpl w:val="C10A5430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D94047"/>
    <w:multiLevelType w:val="hybridMultilevel"/>
    <w:tmpl w:val="C256D412"/>
    <w:lvl w:ilvl="0" w:tplc="189C5AB2">
      <w:start w:val="46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BC711C"/>
    <w:multiLevelType w:val="hybridMultilevel"/>
    <w:tmpl w:val="0916DB32"/>
    <w:lvl w:ilvl="0" w:tplc="920A2B9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9E2CB9"/>
    <w:multiLevelType w:val="hybridMultilevel"/>
    <w:tmpl w:val="F8DA8F28"/>
    <w:lvl w:ilvl="0" w:tplc="6FAEDB04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53183"/>
    <w:multiLevelType w:val="hybridMultilevel"/>
    <w:tmpl w:val="51EE8684"/>
    <w:lvl w:ilvl="0" w:tplc="6F8E362E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042717E"/>
    <w:multiLevelType w:val="hybridMultilevel"/>
    <w:tmpl w:val="5FD6EE6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0"/>
  </w:num>
  <w:num w:numId="5">
    <w:abstractNumId w:val="0"/>
  </w:num>
  <w:num w:numId="6">
    <w:abstractNumId w:val="22"/>
  </w:num>
  <w:num w:numId="7">
    <w:abstractNumId w:val="11"/>
  </w:num>
  <w:num w:numId="8">
    <w:abstractNumId w:val="26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29"/>
  </w:num>
  <w:num w:numId="15">
    <w:abstractNumId w:val="1"/>
  </w:num>
  <w:num w:numId="16">
    <w:abstractNumId w:val="13"/>
  </w:num>
  <w:num w:numId="17">
    <w:abstractNumId w:val="27"/>
  </w:num>
  <w:num w:numId="18">
    <w:abstractNumId w:val="28"/>
  </w:num>
  <w:num w:numId="19">
    <w:abstractNumId w:val="8"/>
  </w:num>
  <w:num w:numId="20">
    <w:abstractNumId w:val="4"/>
  </w:num>
  <w:num w:numId="21">
    <w:abstractNumId w:val="15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24"/>
  </w:num>
  <w:num w:numId="27">
    <w:abstractNumId w:val="7"/>
  </w:num>
  <w:num w:numId="28">
    <w:abstractNumId w:val="23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01"/>
    <w:rsid w:val="000027C2"/>
    <w:rsid w:val="00002889"/>
    <w:rsid w:val="00002B0A"/>
    <w:rsid w:val="0000451D"/>
    <w:rsid w:val="0000458E"/>
    <w:rsid w:val="00004B3F"/>
    <w:rsid w:val="00006F70"/>
    <w:rsid w:val="00007424"/>
    <w:rsid w:val="00011FBB"/>
    <w:rsid w:val="00012E70"/>
    <w:rsid w:val="0001656F"/>
    <w:rsid w:val="00016EA5"/>
    <w:rsid w:val="000172E7"/>
    <w:rsid w:val="00020612"/>
    <w:rsid w:val="00020A19"/>
    <w:rsid w:val="00020B1D"/>
    <w:rsid w:val="00021D3D"/>
    <w:rsid w:val="000227D3"/>
    <w:rsid w:val="000234B7"/>
    <w:rsid w:val="00023DBE"/>
    <w:rsid w:val="0002473B"/>
    <w:rsid w:val="00026F81"/>
    <w:rsid w:val="00027926"/>
    <w:rsid w:val="00031E66"/>
    <w:rsid w:val="000353A8"/>
    <w:rsid w:val="000356E8"/>
    <w:rsid w:val="00036649"/>
    <w:rsid w:val="0004326F"/>
    <w:rsid w:val="00044F71"/>
    <w:rsid w:val="00046A36"/>
    <w:rsid w:val="00047EF8"/>
    <w:rsid w:val="0005045F"/>
    <w:rsid w:val="00051D92"/>
    <w:rsid w:val="00054A8F"/>
    <w:rsid w:val="00055AA1"/>
    <w:rsid w:val="00056D7F"/>
    <w:rsid w:val="00057393"/>
    <w:rsid w:val="00061409"/>
    <w:rsid w:val="000646AF"/>
    <w:rsid w:val="00066D1A"/>
    <w:rsid w:val="00066DF3"/>
    <w:rsid w:val="00073B66"/>
    <w:rsid w:val="000771DA"/>
    <w:rsid w:val="00077592"/>
    <w:rsid w:val="00080300"/>
    <w:rsid w:val="0008149F"/>
    <w:rsid w:val="0008216F"/>
    <w:rsid w:val="00082CDE"/>
    <w:rsid w:val="00083DF2"/>
    <w:rsid w:val="00084DF9"/>
    <w:rsid w:val="00085A43"/>
    <w:rsid w:val="00086E96"/>
    <w:rsid w:val="00087737"/>
    <w:rsid w:val="0009295A"/>
    <w:rsid w:val="00093126"/>
    <w:rsid w:val="0009318D"/>
    <w:rsid w:val="00093D6B"/>
    <w:rsid w:val="0009479C"/>
    <w:rsid w:val="00095656"/>
    <w:rsid w:val="000958FB"/>
    <w:rsid w:val="00097D0A"/>
    <w:rsid w:val="000A1FCB"/>
    <w:rsid w:val="000A2F04"/>
    <w:rsid w:val="000A3298"/>
    <w:rsid w:val="000A4061"/>
    <w:rsid w:val="000A411A"/>
    <w:rsid w:val="000A44EC"/>
    <w:rsid w:val="000A78F8"/>
    <w:rsid w:val="000B0C68"/>
    <w:rsid w:val="000B0C8B"/>
    <w:rsid w:val="000B1ADA"/>
    <w:rsid w:val="000B2984"/>
    <w:rsid w:val="000B413F"/>
    <w:rsid w:val="000B4F91"/>
    <w:rsid w:val="000B7CD6"/>
    <w:rsid w:val="000B7D64"/>
    <w:rsid w:val="000C03E5"/>
    <w:rsid w:val="000C09FA"/>
    <w:rsid w:val="000C3E32"/>
    <w:rsid w:val="000C49C0"/>
    <w:rsid w:val="000C4B55"/>
    <w:rsid w:val="000C6008"/>
    <w:rsid w:val="000C6909"/>
    <w:rsid w:val="000C6944"/>
    <w:rsid w:val="000D0CDB"/>
    <w:rsid w:val="000D24FD"/>
    <w:rsid w:val="000D36CA"/>
    <w:rsid w:val="000D39BA"/>
    <w:rsid w:val="000D6AB8"/>
    <w:rsid w:val="000D6CF5"/>
    <w:rsid w:val="000D7711"/>
    <w:rsid w:val="000E00AE"/>
    <w:rsid w:val="000E1476"/>
    <w:rsid w:val="000E5057"/>
    <w:rsid w:val="000E70CB"/>
    <w:rsid w:val="000E7B9A"/>
    <w:rsid w:val="000F04AD"/>
    <w:rsid w:val="000F06A5"/>
    <w:rsid w:val="000F0BBB"/>
    <w:rsid w:val="000F0BC2"/>
    <w:rsid w:val="000F3AA4"/>
    <w:rsid w:val="000F3D55"/>
    <w:rsid w:val="000F3F2D"/>
    <w:rsid w:val="000F4F32"/>
    <w:rsid w:val="000F654A"/>
    <w:rsid w:val="000F7B9B"/>
    <w:rsid w:val="00100710"/>
    <w:rsid w:val="00100B5B"/>
    <w:rsid w:val="00102B98"/>
    <w:rsid w:val="00103939"/>
    <w:rsid w:val="001042D8"/>
    <w:rsid w:val="00104405"/>
    <w:rsid w:val="00105F98"/>
    <w:rsid w:val="001062CC"/>
    <w:rsid w:val="00107359"/>
    <w:rsid w:val="00107DD4"/>
    <w:rsid w:val="0011007A"/>
    <w:rsid w:val="00110182"/>
    <w:rsid w:val="00111251"/>
    <w:rsid w:val="00112A20"/>
    <w:rsid w:val="00113565"/>
    <w:rsid w:val="0011378C"/>
    <w:rsid w:val="00114E43"/>
    <w:rsid w:val="0011522F"/>
    <w:rsid w:val="0011548B"/>
    <w:rsid w:val="00116545"/>
    <w:rsid w:val="00116D4C"/>
    <w:rsid w:val="001178C0"/>
    <w:rsid w:val="00117F9D"/>
    <w:rsid w:val="001206CF"/>
    <w:rsid w:val="00120FEB"/>
    <w:rsid w:val="00121405"/>
    <w:rsid w:val="00121885"/>
    <w:rsid w:val="00121A08"/>
    <w:rsid w:val="0012438B"/>
    <w:rsid w:val="00124673"/>
    <w:rsid w:val="00125971"/>
    <w:rsid w:val="00125D79"/>
    <w:rsid w:val="001262E2"/>
    <w:rsid w:val="00126750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3519"/>
    <w:rsid w:val="00144CA3"/>
    <w:rsid w:val="00144CA8"/>
    <w:rsid w:val="00145523"/>
    <w:rsid w:val="00145A0F"/>
    <w:rsid w:val="0014700A"/>
    <w:rsid w:val="00152C17"/>
    <w:rsid w:val="00152E45"/>
    <w:rsid w:val="001544C9"/>
    <w:rsid w:val="00154E82"/>
    <w:rsid w:val="00155292"/>
    <w:rsid w:val="00155B36"/>
    <w:rsid w:val="00164146"/>
    <w:rsid w:val="001662BE"/>
    <w:rsid w:val="00170D24"/>
    <w:rsid w:val="00170E04"/>
    <w:rsid w:val="0017172C"/>
    <w:rsid w:val="00173A46"/>
    <w:rsid w:val="00175D10"/>
    <w:rsid w:val="00177622"/>
    <w:rsid w:val="001823E3"/>
    <w:rsid w:val="00182644"/>
    <w:rsid w:val="0018281B"/>
    <w:rsid w:val="00182E20"/>
    <w:rsid w:val="00182EC2"/>
    <w:rsid w:val="00186392"/>
    <w:rsid w:val="00186AC4"/>
    <w:rsid w:val="00186BA6"/>
    <w:rsid w:val="0018703C"/>
    <w:rsid w:val="0019174B"/>
    <w:rsid w:val="00191AF4"/>
    <w:rsid w:val="0019251C"/>
    <w:rsid w:val="00195659"/>
    <w:rsid w:val="00197538"/>
    <w:rsid w:val="00197EBB"/>
    <w:rsid w:val="001A0B50"/>
    <w:rsid w:val="001A0FBE"/>
    <w:rsid w:val="001A1060"/>
    <w:rsid w:val="001A432A"/>
    <w:rsid w:val="001A456B"/>
    <w:rsid w:val="001A6ACB"/>
    <w:rsid w:val="001A6F63"/>
    <w:rsid w:val="001B1938"/>
    <w:rsid w:val="001B1986"/>
    <w:rsid w:val="001B237D"/>
    <w:rsid w:val="001B53A9"/>
    <w:rsid w:val="001B6739"/>
    <w:rsid w:val="001B75AB"/>
    <w:rsid w:val="001C0B62"/>
    <w:rsid w:val="001C162F"/>
    <w:rsid w:val="001C1B85"/>
    <w:rsid w:val="001C1D8F"/>
    <w:rsid w:val="001C1DCA"/>
    <w:rsid w:val="001C1E4C"/>
    <w:rsid w:val="001C2E84"/>
    <w:rsid w:val="001C4133"/>
    <w:rsid w:val="001C63F5"/>
    <w:rsid w:val="001C69E1"/>
    <w:rsid w:val="001C745D"/>
    <w:rsid w:val="001C7ED4"/>
    <w:rsid w:val="001D07F0"/>
    <w:rsid w:val="001D1A08"/>
    <w:rsid w:val="001D251D"/>
    <w:rsid w:val="001D28D3"/>
    <w:rsid w:val="001D39EF"/>
    <w:rsid w:val="001D4315"/>
    <w:rsid w:val="001D4C66"/>
    <w:rsid w:val="001D5215"/>
    <w:rsid w:val="001D532C"/>
    <w:rsid w:val="001D588E"/>
    <w:rsid w:val="001E0640"/>
    <w:rsid w:val="001E06D5"/>
    <w:rsid w:val="001E1A29"/>
    <w:rsid w:val="001E2292"/>
    <w:rsid w:val="001E7102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6EE"/>
    <w:rsid w:val="002056FC"/>
    <w:rsid w:val="00205E4E"/>
    <w:rsid w:val="0020701E"/>
    <w:rsid w:val="00210C4B"/>
    <w:rsid w:val="00211199"/>
    <w:rsid w:val="00211AB8"/>
    <w:rsid w:val="00212EB3"/>
    <w:rsid w:val="00220C13"/>
    <w:rsid w:val="00220DCE"/>
    <w:rsid w:val="002211B6"/>
    <w:rsid w:val="00222452"/>
    <w:rsid w:val="002234A5"/>
    <w:rsid w:val="002240CB"/>
    <w:rsid w:val="0022536D"/>
    <w:rsid w:val="002271AF"/>
    <w:rsid w:val="0022735B"/>
    <w:rsid w:val="00230096"/>
    <w:rsid w:val="00230AA1"/>
    <w:rsid w:val="002320CB"/>
    <w:rsid w:val="002322A4"/>
    <w:rsid w:val="00232442"/>
    <w:rsid w:val="00232F02"/>
    <w:rsid w:val="0023328C"/>
    <w:rsid w:val="002338B5"/>
    <w:rsid w:val="00235188"/>
    <w:rsid w:val="0023629D"/>
    <w:rsid w:val="00241F3F"/>
    <w:rsid w:val="00242799"/>
    <w:rsid w:val="0024295D"/>
    <w:rsid w:val="002454B4"/>
    <w:rsid w:val="00245A01"/>
    <w:rsid w:val="00246C21"/>
    <w:rsid w:val="0024711F"/>
    <w:rsid w:val="0024765B"/>
    <w:rsid w:val="00250F04"/>
    <w:rsid w:val="002516C0"/>
    <w:rsid w:val="002527D0"/>
    <w:rsid w:val="00257AED"/>
    <w:rsid w:val="0026005A"/>
    <w:rsid w:val="00260C1D"/>
    <w:rsid w:val="00262D7B"/>
    <w:rsid w:val="00262E03"/>
    <w:rsid w:val="00265319"/>
    <w:rsid w:val="002667AF"/>
    <w:rsid w:val="00266818"/>
    <w:rsid w:val="0026766D"/>
    <w:rsid w:val="00267B1A"/>
    <w:rsid w:val="00270075"/>
    <w:rsid w:val="00270B84"/>
    <w:rsid w:val="00270C7C"/>
    <w:rsid w:val="00270E35"/>
    <w:rsid w:val="00271725"/>
    <w:rsid w:val="00272FEE"/>
    <w:rsid w:val="002750FA"/>
    <w:rsid w:val="00275658"/>
    <w:rsid w:val="0027574C"/>
    <w:rsid w:val="00275D36"/>
    <w:rsid w:val="00276B29"/>
    <w:rsid w:val="00277ED5"/>
    <w:rsid w:val="00281CDB"/>
    <w:rsid w:val="00281EAD"/>
    <w:rsid w:val="00282153"/>
    <w:rsid w:val="00282894"/>
    <w:rsid w:val="00286F63"/>
    <w:rsid w:val="00292774"/>
    <w:rsid w:val="002934AC"/>
    <w:rsid w:val="002959F4"/>
    <w:rsid w:val="00295E97"/>
    <w:rsid w:val="002A0B1B"/>
    <w:rsid w:val="002A0F7F"/>
    <w:rsid w:val="002A2353"/>
    <w:rsid w:val="002A60B0"/>
    <w:rsid w:val="002A6328"/>
    <w:rsid w:val="002A6644"/>
    <w:rsid w:val="002A6D0E"/>
    <w:rsid w:val="002B1C5D"/>
    <w:rsid w:val="002B2954"/>
    <w:rsid w:val="002B2E4A"/>
    <w:rsid w:val="002B52FA"/>
    <w:rsid w:val="002B5599"/>
    <w:rsid w:val="002C2373"/>
    <w:rsid w:val="002C297C"/>
    <w:rsid w:val="002C3AAB"/>
    <w:rsid w:val="002C4CC4"/>
    <w:rsid w:val="002D0589"/>
    <w:rsid w:val="002D07D9"/>
    <w:rsid w:val="002D347E"/>
    <w:rsid w:val="002D3732"/>
    <w:rsid w:val="002D44DE"/>
    <w:rsid w:val="002D6587"/>
    <w:rsid w:val="002D695B"/>
    <w:rsid w:val="002D7FBF"/>
    <w:rsid w:val="002E05C4"/>
    <w:rsid w:val="002E1854"/>
    <w:rsid w:val="002E2289"/>
    <w:rsid w:val="002E2B51"/>
    <w:rsid w:val="002E2C2B"/>
    <w:rsid w:val="002E4DF6"/>
    <w:rsid w:val="002E5579"/>
    <w:rsid w:val="002E57B1"/>
    <w:rsid w:val="002E5D0D"/>
    <w:rsid w:val="002F136F"/>
    <w:rsid w:val="002F1F49"/>
    <w:rsid w:val="002F2E1E"/>
    <w:rsid w:val="002F3ADE"/>
    <w:rsid w:val="002F3BEE"/>
    <w:rsid w:val="002F49EE"/>
    <w:rsid w:val="002F4E12"/>
    <w:rsid w:val="002F5341"/>
    <w:rsid w:val="002F5BA9"/>
    <w:rsid w:val="002F6AB6"/>
    <w:rsid w:val="002F6B05"/>
    <w:rsid w:val="002F798F"/>
    <w:rsid w:val="002F7E86"/>
    <w:rsid w:val="00301E29"/>
    <w:rsid w:val="0030282A"/>
    <w:rsid w:val="00302B2D"/>
    <w:rsid w:val="00303C19"/>
    <w:rsid w:val="00303C51"/>
    <w:rsid w:val="0030447B"/>
    <w:rsid w:val="00305032"/>
    <w:rsid w:val="00306847"/>
    <w:rsid w:val="00306E23"/>
    <w:rsid w:val="00306FEF"/>
    <w:rsid w:val="003077E2"/>
    <w:rsid w:val="00312553"/>
    <w:rsid w:val="00313281"/>
    <w:rsid w:val="003142C5"/>
    <w:rsid w:val="00314438"/>
    <w:rsid w:val="00314DC7"/>
    <w:rsid w:val="003157A7"/>
    <w:rsid w:val="003165B9"/>
    <w:rsid w:val="00316CE0"/>
    <w:rsid w:val="003171DC"/>
    <w:rsid w:val="003174F4"/>
    <w:rsid w:val="0032059D"/>
    <w:rsid w:val="003247B4"/>
    <w:rsid w:val="00324FCC"/>
    <w:rsid w:val="00326D0E"/>
    <w:rsid w:val="00327CDF"/>
    <w:rsid w:val="00330AF8"/>
    <w:rsid w:val="003342CA"/>
    <w:rsid w:val="00336254"/>
    <w:rsid w:val="0033695E"/>
    <w:rsid w:val="00340EA8"/>
    <w:rsid w:val="003438C1"/>
    <w:rsid w:val="00344C5F"/>
    <w:rsid w:val="00344CC3"/>
    <w:rsid w:val="00345256"/>
    <w:rsid w:val="003463B1"/>
    <w:rsid w:val="0034683D"/>
    <w:rsid w:val="00346F3A"/>
    <w:rsid w:val="00347D39"/>
    <w:rsid w:val="00351AEC"/>
    <w:rsid w:val="00351FEB"/>
    <w:rsid w:val="0035318A"/>
    <w:rsid w:val="00353408"/>
    <w:rsid w:val="003544C8"/>
    <w:rsid w:val="00355BC8"/>
    <w:rsid w:val="00357CFE"/>
    <w:rsid w:val="00361FD1"/>
    <w:rsid w:val="003644AC"/>
    <w:rsid w:val="003647CE"/>
    <w:rsid w:val="003663B9"/>
    <w:rsid w:val="00366806"/>
    <w:rsid w:val="003672D8"/>
    <w:rsid w:val="00367807"/>
    <w:rsid w:val="00367B0F"/>
    <w:rsid w:val="00367C46"/>
    <w:rsid w:val="0037048D"/>
    <w:rsid w:val="003710DE"/>
    <w:rsid w:val="0037194F"/>
    <w:rsid w:val="00371C1F"/>
    <w:rsid w:val="003735BD"/>
    <w:rsid w:val="003735CD"/>
    <w:rsid w:val="003757A0"/>
    <w:rsid w:val="00375CFA"/>
    <w:rsid w:val="00375E70"/>
    <w:rsid w:val="0037693C"/>
    <w:rsid w:val="00377D49"/>
    <w:rsid w:val="00380479"/>
    <w:rsid w:val="0038111F"/>
    <w:rsid w:val="00382109"/>
    <w:rsid w:val="003824E1"/>
    <w:rsid w:val="00384021"/>
    <w:rsid w:val="003841E5"/>
    <w:rsid w:val="00385594"/>
    <w:rsid w:val="003861D7"/>
    <w:rsid w:val="00386CE6"/>
    <w:rsid w:val="00387863"/>
    <w:rsid w:val="003901F3"/>
    <w:rsid w:val="00390B82"/>
    <w:rsid w:val="0039116A"/>
    <w:rsid w:val="003934DD"/>
    <w:rsid w:val="00394BD6"/>
    <w:rsid w:val="0039645F"/>
    <w:rsid w:val="00397A78"/>
    <w:rsid w:val="00397F2A"/>
    <w:rsid w:val="003A035A"/>
    <w:rsid w:val="003A0ED3"/>
    <w:rsid w:val="003A1254"/>
    <w:rsid w:val="003A4786"/>
    <w:rsid w:val="003A5201"/>
    <w:rsid w:val="003A62A8"/>
    <w:rsid w:val="003A6D0D"/>
    <w:rsid w:val="003B158D"/>
    <w:rsid w:val="003B7641"/>
    <w:rsid w:val="003B7904"/>
    <w:rsid w:val="003C0F6F"/>
    <w:rsid w:val="003C176B"/>
    <w:rsid w:val="003C2A19"/>
    <w:rsid w:val="003C2ED0"/>
    <w:rsid w:val="003C309F"/>
    <w:rsid w:val="003C4643"/>
    <w:rsid w:val="003C5648"/>
    <w:rsid w:val="003C6AD4"/>
    <w:rsid w:val="003C788E"/>
    <w:rsid w:val="003D1195"/>
    <w:rsid w:val="003D17DE"/>
    <w:rsid w:val="003D19F7"/>
    <w:rsid w:val="003D2746"/>
    <w:rsid w:val="003D29A2"/>
    <w:rsid w:val="003D4D69"/>
    <w:rsid w:val="003D4E99"/>
    <w:rsid w:val="003D73FC"/>
    <w:rsid w:val="003E035A"/>
    <w:rsid w:val="003E05DE"/>
    <w:rsid w:val="003E0892"/>
    <w:rsid w:val="003E193F"/>
    <w:rsid w:val="003E29EF"/>
    <w:rsid w:val="003E347B"/>
    <w:rsid w:val="003E412D"/>
    <w:rsid w:val="003E4978"/>
    <w:rsid w:val="003E5E40"/>
    <w:rsid w:val="003E6FA8"/>
    <w:rsid w:val="003E7F12"/>
    <w:rsid w:val="003F221A"/>
    <w:rsid w:val="003F261A"/>
    <w:rsid w:val="003F26A6"/>
    <w:rsid w:val="003F2C07"/>
    <w:rsid w:val="003F3BCC"/>
    <w:rsid w:val="003F3F1B"/>
    <w:rsid w:val="003F4E1B"/>
    <w:rsid w:val="003F6908"/>
    <w:rsid w:val="004009A5"/>
    <w:rsid w:val="00405A8C"/>
    <w:rsid w:val="00407D3B"/>
    <w:rsid w:val="004140DA"/>
    <w:rsid w:val="00414C3B"/>
    <w:rsid w:val="00417262"/>
    <w:rsid w:val="00422426"/>
    <w:rsid w:val="00422C1C"/>
    <w:rsid w:val="00422F76"/>
    <w:rsid w:val="00423693"/>
    <w:rsid w:val="00424CB6"/>
    <w:rsid w:val="00425B54"/>
    <w:rsid w:val="0043113C"/>
    <w:rsid w:val="004336F0"/>
    <w:rsid w:val="00433702"/>
    <w:rsid w:val="0043635A"/>
    <w:rsid w:val="00436CDF"/>
    <w:rsid w:val="0043744B"/>
    <w:rsid w:val="004377A8"/>
    <w:rsid w:val="00441DC5"/>
    <w:rsid w:val="00441E6E"/>
    <w:rsid w:val="004436E4"/>
    <w:rsid w:val="004450EA"/>
    <w:rsid w:val="00445C69"/>
    <w:rsid w:val="00446222"/>
    <w:rsid w:val="00450311"/>
    <w:rsid w:val="00451FC9"/>
    <w:rsid w:val="004540EF"/>
    <w:rsid w:val="00457272"/>
    <w:rsid w:val="0045731F"/>
    <w:rsid w:val="00460C62"/>
    <w:rsid w:val="00461AFF"/>
    <w:rsid w:val="00462E24"/>
    <w:rsid w:val="0046320C"/>
    <w:rsid w:val="0046444C"/>
    <w:rsid w:val="00465116"/>
    <w:rsid w:val="004679C1"/>
    <w:rsid w:val="00467BE0"/>
    <w:rsid w:val="0047221C"/>
    <w:rsid w:val="004723A6"/>
    <w:rsid w:val="004743EC"/>
    <w:rsid w:val="00474E96"/>
    <w:rsid w:val="00474F5B"/>
    <w:rsid w:val="00476855"/>
    <w:rsid w:val="0048002E"/>
    <w:rsid w:val="00480CB4"/>
    <w:rsid w:val="00485CC0"/>
    <w:rsid w:val="00485CF7"/>
    <w:rsid w:val="004877F5"/>
    <w:rsid w:val="00487DFA"/>
    <w:rsid w:val="004900B2"/>
    <w:rsid w:val="00490620"/>
    <w:rsid w:val="004907D3"/>
    <w:rsid w:val="00491FC7"/>
    <w:rsid w:val="00492A8B"/>
    <w:rsid w:val="00493BBB"/>
    <w:rsid w:val="00493F65"/>
    <w:rsid w:val="0049567F"/>
    <w:rsid w:val="00496441"/>
    <w:rsid w:val="004A0026"/>
    <w:rsid w:val="004A0387"/>
    <w:rsid w:val="004A1F3A"/>
    <w:rsid w:val="004A2553"/>
    <w:rsid w:val="004A556B"/>
    <w:rsid w:val="004A7DD6"/>
    <w:rsid w:val="004B041B"/>
    <w:rsid w:val="004B2542"/>
    <w:rsid w:val="004B2CBA"/>
    <w:rsid w:val="004B7EBF"/>
    <w:rsid w:val="004C09C8"/>
    <w:rsid w:val="004C14AD"/>
    <w:rsid w:val="004C4178"/>
    <w:rsid w:val="004C494B"/>
    <w:rsid w:val="004C5442"/>
    <w:rsid w:val="004C6404"/>
    <w:rsid w:val="004C6AAE"/>
    <w:rsid w:val="004C6DD5"/>
    <w:rsid w:val="004C7043"/>
    <w:rsid w:val="004C76BE"/>
    <w:rsid w:val="004C7E49"/>
    <w:rsid w:val="004D06F1"/>
    <w:rsid w:val="004D172A"/>
    <w:rsid w:val="004D3E34"/>
    <w:rsid w:val="004D4676"/>
    <w:rsid w:val="004D48F3"/>
    <w:rsid w:val="004D7357"/>
    <w:rsid w:val="004E0172"/>
    <w:rsid w:val="004E1DAD"/>
    <w:rsid w:val="004E3394"/>
    <w:rsid w:val="004E3BB3"/>
    <w:rsid w:val="004E3FB0"/>
    <w:rsid w:val="004E5C71"/>
    <w:rsid w:val="004F03D3"/>
    <w:rsid w:val="004F06B2"/>
    <w:rsid w:val="004F0BDF"/>
    <w:rsid w:val="004F4EE6"/>
    <w:rsid w:val="004F5866"/>
    <w:rsid w:val="004F66E2"/>
    <w:rsid w:val="004F70EC"/>
    <w:rsid w:val="004F7616"/>
    <w:rsid w:val="004F7805"/>
    <w:rsid w:val="00500448"/>
    <w:rsid w:val="00503FC0"/>
    <w:rsid w:val="00504810"/>
    <w:rsid w:val="00505DF0"/>
    <w:rsid w:val="0050632F"/>
    <w:rsid w:val="005120EB"/>
    <w:rsid w:val="00512707"/>
    <w:rsid w:val="00513220"/>
    <w:rsid w:val="0051629B"/>
    <w:rsid w:val="00516D96"/>
    <w:rsid w:val="00520565"/>
    <w:rsid w:val="005209A5"/>
    <w:rsid w:val="005219A3"/>
    <w:rsid w:val="00522770"/>
    <w:rsid w:val="005240B2"/>
    <w:rsid w:val="00526676"/>
    <w:rsid w:val="00526A84"/>
    <w:rsid w:val="00530C5E"/>
    <w:rsid w:val="00530F51"/>
    <w:rsid w:val="00530FAE"/>
    <w:rsid w:val="00531051"/>
    <w:rsid w:val="005331D0"/>
    <w:rsid w:val="00535543"/>
    <w:rsid w:val="00535656"/>
    <w:rsid w:val="005364C2"/>
    <w:rsid w:val="00537881"/>
    <w:rsid w:val="00541AB6"/>
    <w:rsid w:val="00541B12"/>
    <w:rsid w:val="00541F60"/>
    <w:rsid w:val="00542107"/>
    <w:rsid w:val="00545455"/>
    <w:rsid w:val="0054636A"/>
    <w:rsid w:val="00546424"/>
    <w:rsid w:val="00546B69"/>
    <w:rsid w:val="00546F5A"/>
    <w:rsid w:val="00553FB0"/>
    <w:rsid w:val="00554B40"/>
    <w:rsid w:val="00555774"/>
    <w:rsid w:val="00555947"/>
    <w:rsid w:val="00555C4E"/>
    <w:rsid w:val="00556FE8"/>
    <w:rsid w:val="0056166F"/>
    <w:rsid w:val="00562490"/>
    <w:rsid w:val="005626C3"/>
    <w:rsid w:val="005633DB"/>
    <w:rsid w:val="005634AF"/>
    <w:rsid w:val="005639D8"/>
    <w:rsid w:val="00564769"/>
    <w:rsid w:val="0056526D"/>
    <w:rsid w:val="005659F5"/>
    <w:rsid w:val="005660C8"/>
    <w:rsid w:val="00570A99"/>
    <w:rsid w:val="00570C93"/>
    <w:rsid w:val="0057182F"/>
    <w:rsid w:val="00572B15"/>
    <w:rsid w:val="005731D8"/>
    <w:rsid w:val="00573B13"/>
    <w:rsid w:val="00574B1D"/>
    <w:rsid w:val="0057599F"/>
    <w:rsid w:val="00580DE6"/>
    <w:rsid w:val="00581008"/>
    <w:rsid w:val="00581B6E"/>
    <w:rsid w:val="005821C2"/>
    <w:rsid w:val="00582CC2"/>
    <w:rsid w:val="00583270"/>
    <w:rsid w:val="00583291"/>
    <w:rsid w:val="00583AD1"/>
    <w:rsid w:val="005841BD"/>
    <w:rsid w:val="005842EF"/>
    <w:rsid w:val="00590729"/>
    <w:rsid w:val="00592479"/>
    <w:rsid w:val="005949A5"/>
    <w:rsid w:val="005958F4"/>
    <w:rsid w:val="0059626A"/>
    <w:rsid w:val="0059658D"/>
    <w:rsid w:val="0059754B"/>
    <w:rsid w:val="005A0907"/>
    <w:rsid w:val="005A0FCD"/>
    <w:rsid w:val="005A148A"/>
    <w:rsid w:val="005A18A0"/>
    <w:rsid w:val="005A3C89"/>
    <w:rsid w:val="005A5E47"/>
    <w:rsid w:val="005A7047"/>
    <w:rsid w:val="005A78C0"/>
    <w:rsid w:val="005B060A"/>
    <w:rsid w:val="005B0F0E"/>
    <w:rsid w:val="005B20EB"/>
    <w:rsid w:val="005B2FBB"/>
    <w:rsid w:val="005B3891"/>
    <w:rsid w:val="005B43F7"/>
    <w:rsid w:val="005B4A38"/>
    <w:rsid w:val="005B57DF"/>
    <w:rsid w:val="005B5E6F"/>
    <w:rsid w:val="005C0097"/>
    <w:rsid w:val="005C272B"/>
    <w:rsid w:val="005C5964"/>
    <w:rsid w:val="005C7273"/>
    <w:rsid w:val="005D10B2"/>
    <w:rsid w:val="005D157D"/>
    <w:rsid w:val="005D1D75"/>
    <w:rsid w:val="005D2AFD"/>
    <w:rsid w:val="005D2B93"/>
    <w:rsid w:val="005D3061"/>
    <w:rsid w:val="005D354D"/>
    <w:rsid w:val="005D44FC"/>
    <w:rsid w:val="005D4826"/>
    <w:rsid w:val="005D504A"/>
    <w:rsid w:val="005D51DD"/>
    <w:rsid w:val="005D5E9D"/>
    <w:rsid w:val="005D77C7"/>
    <w:rsid w:val="005D7F8D"/>
    <w:rsid w:val="005E0992"/>
    <w:rsid w:val="005E2F6A"/>
    <w:rsid w:val="005E37C0"/>
    <w:rsid w:val="005E5159"/>
    <w:rsid w:val="005E585B"/>
    <w:rsid w:val="005E7330"/>
    <w:rsid w:val="005F1306"/>
    <w:rsid w:val="005F180B"/>
    <w:rsid w:val="005F1836"/>
    <w:rsid w:val="005F20E4"/>
    <w:rsid w:val="005F24F7"/>
    <w:rsid w:val="005F53DA"/>
    <w:rsid w:val="006004AB"/>
    <w:rsid w:val="00601545"/>
    <w:rsid w:val="006026A0"/>
    <w:rsid w:val="00603E10"/>
    <w:rsid w:val="0060618F"/>
    <w:rsid w:val="00606278"/>
    <w:rsid w:val="0060720B"/>
    <w:rsid w:val="006107DE"/>
    <w:rsid w:val="00610A2A"/>
    <w:rsid w:val="00611969"/>
    <w:rsid w:val="0061274E"/>
    <w:rsid w:val="00612B17"/>
    <w:rsid w:val="00612D3B"/>
    <w:rsid w:val="00614FAA"/>
    <w:rsid w:val="00615970"/>
    <w:rsid w:val="00625584"/>
    <w:rsid w:val="0062597E"/>
    <w:rsid w:val="0062655C"/>
    <w:rsid w:val="00626E90"/>
    <w:rsid w:val="00627CE0"/>
    <w:rsid w:val="006339A4"/>
    <w:rsid w:val="00637201"/>
    <w:rsid w:val="00640032"/>
    <w:rsid w:val="00640301"/>
    <w:rsid w:val="00640651"/>
    <w:rsid w:val="0064083E"/>
    <w:rsid w:val="00643267"/>
    <w:rsid w:val="006439B3"/>
    <w:rsid w:val="00643D3E"/>
    <w:rsid w:val="00646421"/>
    <w:rsid w:val="006474B6"/>
    <w:rsid w:val="0064753A"/>
    <w:rsid w:val="00651A99"/>
    <w:rsid w:val="0065215F"/>
    <w:rsid w:val="006535BB"/>
    <w:rsid w:val="00653B0F"/>
    <w:rsid w:val="00654885"/>
    <w:rsid w:val="00654914"/>
    <w:rsid w:val="00655016"/>
    <w:rsid w:val="00655DE9"/>
    <w:rsid w:val="00656288"/>
    <w:rsid w:val="00656334"/>
    <w:rsid w:val="00661774"/>
    <w:rsid w:val="00662021"/>
    <w:rsid w:val="00662D8F"/>
    <w:rsid w:val="00664566"/>
    <w:rsid w:val="006661E0"/>
    <w:rsid w:val="0066626F"/>
    <w:rsid w:val="00670654"/>
    <w:rsid w:val="00671BDD"/>
    <w:rsid w:val="0067231A"/>
    <w:rsid w:val="0067263C"/>
    <w:rsid w:val="00673A27"/>
    <w:rsid w:val="00674376"/>
    <w:rsid w:val="00674708"/>
    <w:rsid w:val="006764D2"/>
    <w:rsid w:val="00676EF5"/>
    <w:rsid w:val="00680838"/>
    <w:rsid w:val="00680903"/>
    <w:rsid w:val="00682489"/>
    <w:rsid w:val="00682A97"/>
    <w:rsid w:val="00682AD6"/>
    <w:rsid w:val="00684C44"/>
    <w:rsid w:val="00685177"/>
    <w:rsid w:val="0068537B"/>
    <w:rsid w:val="0068630A"/>
    <w:rsid w:val="00686705"/>
    <w:rsid w:val="00687452"/>
    <w:rsid w:val="00687677"/>
    <w:rsid w:val="0068785B"/>
    <w:rsid w:val="00690283"/>
    <w:rsid w:val="00690EC4"/>
    <w:rsid w:val="0069258C"/>
    <w:rsid w:val="006938F9"/>
    <w:rsid w:val="00693C93"/>
    <w:rsid w:val="00695C4D"/>
    <w:rsid w:val="00695E0B"/>
    <w:rsid w:val="00696598"/>
    <w:rsid w:val="006A08B7"/>
    <w:rsid w:val="006A0E8A"/>
    <w:rsid w:val="006A1083"/>
    <w:rsid w:val="006A1985"/>
    <w:rsid w:val="006A298B"/>
    <w:rsid w:val="006A33D2"/>
    <w:rsid w:val="006A3D40"/>
    <w:rsid w:val="006A5793"/>
    <w:rsid w:val="006A5B59"/>
    <w:rsid w:val="006A6BDF"/>
    <w:rsid w:val="006B1B5A"/>
    <w:rsid w:val="006B23DB"/>
    <w:rsid w:val="006B269B"/>
    <w:rsid w:val="006B38EA"/>
    <w:rsid w:val="006B3E02"/>
    <w:rsid w:val="006B5E48"/>
    <w:rsid w:val="006C035F"/>
    <w:rsid w:val="006C270E"/>
    <w:rsid w:val="006C2CF8"/>
    <w:rsid w:val="006C46E3"/>
    <w:rsid w:val="006C4F90"/>
    <w:rsid w:val="006C4FEE"/>
    <w:rsid w:val="006C6B08"/>
    <w:rsid w:val="006C6ECB"/>
    <w:rsid w:val="006C7344"/>
    <w:rsid w:val="006D0824"/>
    <w:rsid w:val="006D0EAF"/>
    <w:rsid w:val="006D0FEF"/>
    <w:rsid w:val="006D1A75"/>
    <w:rsid w:val="006D202A"/>
    <w:rsid w:val="006D3DF8"/>
    <w:rsid w:val="006D542C"/>
    <w:rsid w:val="006D6020"/>
    <w:rsid w:val="006D64F7"/>
    <w:rsid w:val="006D6C46"/>
    <w:rsid w:val="006E067C"/>
    <w:rsid w:val="006E071F"/>
    <w:rsid w:val="006E51BD"/>
    <w:rsid w:val="006E5924"/>
    <w:rsid w:val="006E775D"/>
    <w:rsid w:val="006F049E"/>
    <w:rsid w:val="006F0C6E"/>
    <w:rsid w:val="006F370B"/>
    <w:rsid w:val="006F3854"/>
    <w:rsid w:val="006F5692"/>
    <w:rsid w:val="006F77C1"/>
    <w:rsid w:val="006F7ABF"/>
    <w:rsid w:val="0070048E"/>
    <w:rsid w:val="00700BAC"/>
    <w:rsid w:val="00701CAD"/>
    <w:rsid w:val="00704CA4"/>
    <w:rsid w:val="00705A87"/>
    <w:rsid w:val="00705BA9"/>
    <w:rsid w:val="00705F2A"/>
    <w:rsid w:val="00706DBA"/>
    <w:rsid w:val="00706EC7"/>
    <w:rsid w:val="00707175"/>
    <w:rsid w:val="00710205"/>
    <w:rsid w:val="00711860"/>
    <w:rsid w:val="007152C6"/>
    <w:rsid w:val="007168F2"/>
    <w:rsid w:val="0071728F"/>
    <w:rsid w:val="007173B3"/>
    <w:rsid w:val="00717993"/>
    <w:rsid w:val="00720970"/>
    <w:rsid w:val="00722107"/>
    <w:rsid w:val="00722F42"/>
    <w:rsid w:val="00723726"/>
    <w:rsid w:val="00724E7D"/>
    <w:rsid w:val="00725BB1"/>
    <w:rsid w:val="00726D62"/>
    <w:rsid w:val="00727432"/>
    <w:rsid w:val="0073118E"/>
    <w:rsid w:val="007321A0"/>
    <w:rsid w:val="00733132"/>
    <w:rsid w:val="007333B9"/>
    <w:rsid w:val="00733945"/>
    <w:rsid w:val="00734900"/>
    <w:rsid w:val="007349C3"/>
    <w:rsid w:val="0073552C"/>
    <w:rsid w:val="00736DD3"/>
    <w:rsid w:val="00737492"/>
    <w:rsid w:val="00737DEB"/>
    <w:rsid w:val="00737F7E"/>
    <w:rsid w:val="00740E54"/>
    <w:rsid w:val="00741627"/>
    <w:rsid w:val="007430FF"/>
    <w:rsid w:val="00743223"/>
    <w:rsid w:val="00745002"/>
    <w:rsid w:val="007454AB"/>
    <w:rsid w:val="007515FE"/>
    <w:rsid w:val="00754E79"/>
    <w:rsid w:val="00755426"/>
    <w:rsid w:val="00756EB5"/>
    <w:rsid w:val="00757BBF"/>
    <w:rsid w:val="00757F53"/>
    <w:rsid w:val="007602C4"/>
    <w:rsid w:val="00764249"/>
    <w:rsid w:val="00766227"/>
    <w:rsid w:val="00766723"/>
    <w:rsid w:val="007679B1"/>
    <w:rsid w:val="00771EF9"/>
    <w:rsid w:val="007748A5"/>
    <w:rsid w:val="00774931"/>
    <w:rsid w:val="00775FFC"/>
    <w:rsid w:val="00776DE8"/>
    <w:rsid w:val="007778ED"/>
    <w:rsid w:val="007811E3"/>
    <w:rsid w:val="00781D44"/>
    <w:rsid w:val="00782925"/>
    <w:rsid w:val="0078317E"/>
    <w:rsid w:val="00784200"/>
    <w:rsid w:val="007843BF"/>
    <w:rsid w:val="007858EC"/>
    <w:rsid w:val="0079046E"/>
    <w:rsid w:val="0079122C"/>
    <w:rsid w:val="00792F6E"/>
    <w:rsid w:val="00793846"/>
    <w:rsid w:val="00796090"/>
    <w:rsid w:val="0079703C"/>
    <w:rsid w:val="00797303"/>
    <w:rsid w:val="00797355"/>
    <w:rsid w:val="007A2D53"/>
    <w:rsid w:val="007A3052"/>
    <w:rsid w:val="007A33E3"/>
    <w:rsid w:val="007A44CB"/>
    <w:rsid w:val="007A4527"/>
    <w:rsid w:val="007A4D25"/>
    <w:rsid w:val="007A50B4"/>
    <w:rsid w:val="007A57D0"/>
    <w:rsid w:val="007A6474"/>
    <w:rsid w:val="007A6CA2"/>
    <w:rsid w:val="007A7098"/>
    <w:rsid w:val="007A7977"/>
    <w:rsid w:val="007B06E2"/>
    <w:rsid w:val="007B07D7"/>
    <w:rsid w:val="007B11B5"/>
    <w:rsid w:val="007B1964"/>
    <w:rsid w:val="007B1BAB"/>
    <w:rsid w:val="007B30CB"/>
    <w:rsid w:val="007B3DE1"/>
    <w:rsid w:val="007B42EE"/>
    <w:rsid w:val="007B47A6"/>
    <w:rsid w:val="007C022D"/>
    <w:rsid w:val="007C14DB"/>
    <w:rsid w:val="007C1FFC"/>
    <w:rsid w:val="007C284A"/>
    <w:rsid w:val="007C445F"/>
    <w:rsid w:val="007C4A60"/>
    <w:rsid w:val="007C54F6"/>
    <w:rsid w:val="007C6267"/>
    <w:rsid w:val="007C7EEA"/>
    <w:rsid w:val="007D0357"/>
    <w:rsid w:val="007D0B2D"/>
    <w:rsid w:val="007D0C59"/>
    <w:rsid w:val="007D1BEA"/>
    <w:rsid w:val="007D20DE"/>
    <w:rsid w:val="007D30FE"/>
    <w:rsid w:val="007D7ED4"/>
    <w:rsid w:val="007E42CC"/>
    <w:rsid w:val="007E68CD"/>
    <w:rsid w:val="007E79E1"/>
    <w:rsid w:val="007E7CAD"/>
    <w:rsid w:val="007F0439"/>
    <w:rsid w:val="007F1262"/>
    <w:rsid w:val="007F1B5A"/>
    <w:rsid w:val="007F354D"/>
    <w:rsid w:val="007F4FBB"/>
    <w:rsid w:val="007F5C16"/>
    <w:rsid w:val="007F7A5A"/>
    <w:rsid w:val="00800D92"/>
    <w:rsid w:val="0080156E"/>
    <w:rsid w:val="0080357B"/>
    <w:rsid w:val="008042DC"/>
    <w:rsid w:val="00806395"/>
    <w:rsid w:val="00806B83"/>
    <w:rsid w:val="00811B3A"/>
    <w:rsid w:val="00813BB8"/>
    <w:rsid w:val="0081496D"/>
    <w:rsid w:val="0081514D"/>
    <w:rsid w:val="008162F5"/>
    <w:rsid w:val="00817489"/>
    <w:rsid w:val="008175D7"/>
    <w:rsid w:val="008176AB"/>
    <w:rsid w:val="00820EC7"/>
    <w:rsid w:val="00820FD9"/>
    <w:rsid w:val="008212B4"/>
    <w:rsid w:val="008233BF"/>
    <w:rsid w:val="00823B7E"/>
    <w:rsid w:val="00824754"/>
    <w:rsid w:val="008256B8"/>
    <w:rsid w:val="0082733C"/>
    <w:rsid w:val="008279F0"/>
    <w:rsid w:val="00830ABC"/>
    <w:rsid w:val="00832C74"/>
    <w:rsid w:val="00840015"/>
    <w:rsid w:val="008404BD"/>
    <w:rsid w:val="0084162E"/>
    <w:rsid w:val="008422C0"/>
    <w:rsid w:val="00847309"/>
    <w:rsid w:val="008475B7"/>
    <w:rsid w:val="00847E99"/>
    <w:rsid w:val="00850823"/>
    <w:rsid w:val="00851371"/>
    <w:rsid w:val="00851503"/>
    <w:rsid w:val="00852EB5"/>
    <w:rsid w:val="0085322D"/>
    <w:rsid w:val="008538EA"/>
    <w:rsid w:val="00854FBC"/>
    <w:rsid w:val="008570D3"/>
    <w:rsid w:val="00857CFC"/>
    <w:rsid w:val="0086005B"/>
    <w:rsid w:val="00860208"/>
    <w:rsid w:val="00861020"/>
    <w:rsid w:val="00862B66"/>
    <w:rsid w:val="0086425B"/>
    <w:rsid w:val="00865347"/>
    <w:rsid w:val="008655C6"/>
    <w:rsid w:val="008658F9"/>
    <w:rsid w:val="00865D46"/>
    <w:rsid w:val="0086607E"/>
    <w:rsid w:val="00866F7C"/>
    <w:rsid w:val="00870E39"/>
    <w:rsid w:val="00875554"/>
    <w:rsid w:val="00875DB0"/>
    <w:rsid w:val="0088123C"/>
    <w:rsid w:val="00883D45"/>
    <w:rsid w:val="00883FEB"/>
    <w:rsid w:val="008842F5"/>
    <w:rsid w:val="00884AD0"/>
    <w:rsid w:val="0088570B"/>
    <w:rsid w:val="0088708C"/>
    <w:rsid w:val="00887533"/>
    <w:rsid w:val="008877C4"/>
    <w:rsid w:val="00891165"/>
    <w:rsid w:val="00891602"/>
    <w:rsid w:val="00892080"/>
    <w:rsid w:val="0089215C"/>
    <w:rsid w:val="00892B86"/>
    <w:rsid w:val="00894B77"/>
    <w:rsid w:val="008957D0"/>
    <w:rsid w:val="00896E12"/>
    <w:rsid w:val="008A31D5"/>
    <w:rsid w:val="008A3D27"/>
    <w:rsid w:val="008A3EA0"/>
    <w:rsid w:val="008A53DA"/>
    <w:rsid w:val="008A5738"/>
    <w:rsid w:val="008A6976"/>
    <w:rsid w:val="008A6B64"/>
    <w:rsid w:val="008A7611"/>
    <w:rsid w:val="008A7EBF"/>
    <w:rsid w:val="008B14D8"/>
    <w:rsid w:val="008B4B1F"/>
    <w:rsid w:val="008B64A7"/>
    <w:rsid w:val="008B6771"/>
    <w:rsid w:val="008B73C5"/>
    <w:rsid w:val="008B7879"/>
    <w:rsid w:val="008C073D"/>
    <w:rsid w:val="008C1C46"/>
    <w:rsid w:val="008C319A"/>
    <w:rsid w:val="008C3D11"/>
    <w:rsid w:val="008C7270"/>
    <w:rsid w:val="008C74B3"/>
    <w:rsid w:val="008C7F0D"/>
    <w:rsid w:val="008D0299"/>
    <w:rsid w:val="008D031E"/>
    <w:rsid w:val="008D2EF6"/>
    <w:rsid w:val="008D2FE1"/>
    <w:rsid w:val="008D5DA5"/>
    <w:rsid w:val="008D5F9B"/>
    <w:rsid w:val="008D7435"/>
    <w:rsid w:val="008E0E31"/>
    <w:rsid w:val="008E15A4"/>
    <w:rsid w:val="008E46B1"/>
    <w:rsid w:val="008E59D5"/>
    <w:rsid w:val="008E6C2C"/>
    <w:rsid w:val="008E6F5B"/>
    <w:rsid w:val="008E7374"/>
    <w:rsid w:val="008F006C"/>
    <w:rsid w:val="008F0178"/>
    <w:rsid w:val="008F057B"/>
    <w:rsid w:val="008F0898"/>
    <w:rsid w:val="008F2139"/>
    <w:rsid w:val="008F3298"/>
    <w:rsid w:val="008F5E88"/>
    <w:rsid w:val="008F751D"/>
    <w:rsid w:val="00900042"/>
    <w:rsid w:val="009000C1"/>
    <w:rsid w:val="00901041"/>
    <w:rsid w:val="009016DF"/>
    <w:rsid w:val="00901E33"/>
    <w:rsid w:val="00903B5D"/>
    <w:rsid w:val="00904256"/>
    <w:rsid w:val="0090560F"/>
    <w:rsid w:val="00905E66"/>
    <w:rsid w:val="009062C8"/>
    <w:rsid w:val="00906B7E"/>
    <w:rsid w:val="00910895"/>
    <w:rsid w:val="0091316E"/>
    <w:rsid w:val="009135FB"/>
    <w:rsid w:val="00915726"/>
    <w:rsid w:val="00915BBC"/>
    <w:rsid w:val="00917EBD"/>
    <w:rsid w:val="0092187B"/>
    <w:rsid w:val="00922214"/>
    <w:rsid w:val="00922EE2"/>
    <w:rsid w:val="00923092"/>
    <w:rsid w:val="00925C92"/>
    <w:rsid w:val="00927E70"/>
    <w:rsid w:val="00930226"/>
    <w:rsid w:val="0093065A"/>
    <w:rsid w:val="00930A32"/>
    <w:rsid w:val="00930FAC"/>
    <w:rsid w:val="00931653"/>
    <w:rsid w:val="00931E4E"/>
    <w:rsid w:val="00932065"/>
    <w:rsid w:val="00932432"/>
    <w:rsid w:val="0093324B"/>
    <w:rsid w:val="00933A6C"/>
    <w:rsid w:val="00934A17"/>
    <w:rsid w:val="00934BAE"/>
    <w:rsid w:val="00934CC6"/>
    <w:rsid w:val="00936FD6"/>
    <w:rsid w:val="009375D3"/>
    <w:rsid w:val="00940879"/>
    <w:rsid w:val="00943659"/>
    <w:rsid w:val="00943CB8"/>
    <w:rsid w:val="00946284"/>
    <w:rsid w:val="00947CDF"/>
    <w:rsid w:val="009505E4"/>
    <w:rsid w:val="0095152A"/>
    <w:rsid w:val="00952F13"/>
    <w:rsid w:val="009568F6"/>
    <w:rsid w:val="00956A03"/>
    <w:rsid w:val="009601EB"/>
    <w:rsid w:val="00960D9B"/>
    <w:rsid w:val="00962149"/>
    <w:rsid w:val="009623E3"/>
    <w:rsid w:val="00962F4F"/>
    <w:rsid w:val="00964640"/>
    <w:rsid w:val="009651DC"/>
    <w:rsid w:val="0097355E"/>
    <w:rsid w:val="009747DC"/>
    <w:rsid w:val="0097572B"/>
    <w:rsid w:val="00976CD9"/>
    <w:rsid w:val="00980197"/>
    <w:rsid w:val="0098151A"/>
    <w:rsid w:val="0098198A"/>
    <w:rsid w:val="009827A6"/>
    <w:rsid w:val="00983AF3"/>
    <w:rsid w:val="009843F7"/>
    <w:rsid w:val="00984CC1"/>
    <w:rsid w:val="00985D11"/>
    <w:rsid w:val="00992EFE"/>
    <w:rsid w:val="00995CC3"/>
    <w:rsid w:val="00995E7C"/>
    <w:rsid w:val="009A1112"/>
    <w:rsid w:val="009A1791"/>
    <w:rsid w:val="009A1BC0"/>
    <w:rsid w:val="009A459D"/>
    <w:rsid w:val="009A4C19"/>
    <w:rsid w:val="009A4C27"/>
    <w:rsid w:val="009A4CC7"/>
    <w:rsid w:val="009A5AA9"/>
    <w:rsid w:val="009A79BE"/>
    <w:rsid w:val="009A7F9D"/>
    <w:rsid w:val="009B03F4"/>
    <w:rsid w:val="009B0AD1"/>
    <w:rsid w:val="009B1ECC"/>
    <w:rsid w:val="009B335A"/>
    <w:rsid w:val="009B5C03"/>
    <w:rsid w:val="009B62BF"/>
    <w:rsid w:val="009B7346"/>
    <w:rsid w:val="009B7DDB"/>
    <w:rsid w:val="009C06C0"/>
    <w:rsid w:val="009C09A9"/>
    <w:rsid w:val="009C0CEC"/>
    <w:rsid w:val="009C3269"/>
    <w:rsid w:val="009C4ED4"/>
    <w:rsid w:val="009C5159"/>
    <w:rsid w:val="009C5190"/>
    <w:rsid w:val="009D05EA"/>
    <w:rsid w:val="009D0C27"/>
    <w:rsid w:val="009D13B3"/>
    <w:rsid w:val="009D1D10"/>
    <w:rsid w:val="009D2BFB"/>
    <w:rsid w:val="009D307E"/>
    <w:rsid w:val="009D3F50"/>
    <w:rsid w:val="009D523A"/>
    <w:rsid w:val="009D5FA4"/>
    <w:rsid w:val="009D628B"/>
    <w:rsid w:val="009D68CE"/>
    <w:rsid w:val="009D7799"/>
    <w:rsid w:val="009D7948"/>
    <w:rsid w:val="009D7B92"/>
    <w:rsid w:val="009E027A"/>
    <w:rsid w:val="009E0676"/>
    <w:rsid w:val="009E1370"/>
    <w:rsid w:val="009E25F5"/>
    <w:rsid w:val="009E42FF"/>
    <w:rsid w:val="009E4CA8"/>
    <w:rsid w:val="009E4EFF"/>
    <w:rsid w:val="009E52C1"/>
    <w:rsid w:val="009E5DC1"/>
    <w:rsid w:val="009E6759"/>
    <w:rsid w:val="009E697D"/>
    <w:rsid w:val="009F207A"/>
    <w:rsid w:val="009F2D89"/>
    <w:rsid w:val="009F3069"/>
    <w:rsid w:val="009F3072"/>
    <w:rsid w:val="009F416D"/>
    <w:rsid w:val="009F497A"/>
    <w:rsid w:val="009F4C35"/>
    <w:rsid w:val="009F6F3E"/>
    <w:rsid w:val="009F75E6"/>
    <w:rsid w:val="00A0011E"/>
    <w:rsid w:val="00A022CA"/>
    <w:rsid w:val="00A02EFE"/>
    <w:rsid w:val="00A02FFB"/>
    <w:rsid w:val="00A03907"/>
    <w:rsid w:val="00A04527"/>
    <w:rsid w:val="00A06A15"/>
    <w:rsid w:val="00A118E6"/>
    <w:rsid w:val="00A1311C"/>
    <w:rsid w:val="00A1340A"/>
    <w:rsid w:val="00A137DE"/>
    <w:rsid w:val="00A141F1"/>
    <w:rsid w:val="00A148D8"/>
    <w:rsid w:val="00A15B8B"/>
    <w:rsid w:val="00A16353"/>
    <w:rsid w:val="00A16B9C"/>
    <w:rsid w:val="00A16D54"/>
    <w:rsid w:val="00A1701F"/>
    <w:rsid w:val="00A2046B"/>
    <w:rsid w:val="00A209CF"/>
    <w:rsid w:val="00A22534"/>
    <w:rsid w:val="00A22635"/>
    <w:rsid w:val="00A2371F"/>
    <w:rsid w:val="00A23D15"/>
    <w:rsid w:val="00A24BC4"/>
    <w:rsid w:val="00A24CAE"/>
    <w:rsid w:val="00A253D6"/>
    <w:rsid w:val="00A259AF"/>
    <w:rsid w:val="00A27671"/>
    <w:rsid w:val="00A27D60"/>
    <w:rsid w:val="00A310C2"/>
    <w:rsid w:val="00A32015"/>
    <w:rsid w:val="00A33425"/>
    <w:rsid w:val="00A335A2"/>
    <w:rsid w:val="00A33612"/>
    <w:rsid w:val="00A34EF1"/>
    <w:rsid w:val="00A3520A"/>
    <w:rsid w:val="00A37277"/>
    <w:rsid w:val="00A40027"/>
    <w:rsid w:val="00A41480"/>
    <w:rsid w:val="00A4183B"/>
    <w:rsid w:val="00A41BF1"/>
    <w:rsid w:val="00A420A0"/>
    <w:rsid w:val="00A436EA"/>
    <w:rsid w:val="00A45343"/>
    <w:rsid w:val="00A45679"/>
    <w:rsid w:val="00A46AA3"/>
    <w:rsid w:val="00A47028"/>
    <w:rsid w:val="00A50979"/>
    <w:rsid w:val="00A50992"/>
    <w:rsid w:val="00A52DAA"/>
    <w:rsid w:val="00A53015"/>
    <w:rsid w:val="00A531BE"/>
    <w:rsid w:val="00A542D0"/>
    <w:rsid w:val="00A55BB0"/>
    <w:rsid w:val="00A5624E"/>
    <w:rsid w:val="00A57963"/>
    <w:rsid w:val="00A6095D"/>
    <w:rsid w:val="00A62514"/>
    <w:rsid w:val="00A633D7"/>
    <w:rsid w:val="00A6701A"/>
    <w:rsid w:val="00A67A05"/>
    <w:rsid w:val="00A70009"/>
    <w:rsid w:val="00A70122"/>
    <w:rsid w:val="00A70544"/>
    <w:rsid w:val="00A70F96"/>
    <w:rsid w:val="00A712C3"/>
    <w:rsid w:val="00A73EA4"/>
    <w:rsid w:val="00A74175"/>
    <w:rsid w:val="00A7459D"/>
    <w:rsid w:val="00A77B87"/>
    <w:rsid w:val="00A803B4"/>
    <w:rsid w:val="00A807F8"/>
    <w:rsid w:val="00A82907"/>
    <w:rsid w:val="00A833E8"/>
    <w:rsid w:val="00A84592"/>
    <w:rsid w:val="00A8473C"/>
    <w:rsid w:val="00A84744"/>
    <w:rsid w:val="00A848EE"/>
    <w:rsid w:val="00A84B7F"/>
    <w:rsid w:val="00A8534A"/>
    <w:rsid w:val="00A856D9"/>
    <w:rsid w:val="00A86930"/>
    <w:rsid w:val="00A86FC1"/>
    <w:rsid w:val="00A87D43"/>
    <w:rsid w:val="00A913F9"/>
    <w:rsid w:val="00A914E4"/>
    <w:rsid w:val="00A91DB6"/>
    <w:rsid w:val="00A920F1"/>
    <w:rsid w:val="00A9326F"/>
    <w:rsid w:val="00A933D4"/>
    <w:rsid w:val="00A93E94"/>
    <w:rsid w:val="00A94A54"/>
    <w:rsid w:val="00A94C26"/>
    <w:rsid w:val="00A96328"/>
    <w:rsid w:val="00A97063"/>
    <w:rsid w:val="00A97688"/>
    <w:rsid w:val="00AA0063"/>
    <w:rsid w:val="00AA03D6"/>
    <w:rsid w:val="00AA0D51"/>
    <w:rsid w:val="00AA171F"/>
    <w:rsid w:val="00AA1B5F"/>
    <w:rsid w:val="00AA59AA"/>
    <w:rsid w:val="00AA6CF0"/>
    <w:rsid w:val="00AA6ECB"/>
    <w:rsid w:val="00AB140C"/>
    <w:rsid w:val="00AB14CD"/>
    <w:rsid w:val="00AB36DA"/>
    <w:rsid w:val="00AB39D2"/>
    <w:rsid w:val="00AB3F9C"/>
    <w:rsid w:val="00AB5297"/>
    <w:rsid w:val="00AB706D"/>
    <w:rsid w:val="00AB714F"/>
    <w:rsid w:val="00AC0A9D"/>
    <w:rsid w:val="00AC1117"/>
    <w:rsid w:val="00AC14FF"/>
    <w:rsid w:val="00AC24CA"/>
    <w:rsid w:val="00AC37DB"/>
    <w:rsid w:val="00AC460B"/>
    <w:rsid w:val="00AC46CC"/>
    <w:rsid w:val="00AC6664"/>
    <w:rsid w:val="00AC7673"/>
    <w:rsid w:val="00AC7C52"/>
    <w:rsid w:val="00AD155F"/>
    <w:rsid w:val="00AD1AC7"/>
    <w:rsid w:val="00AD227D"/>
    <w:rsid w:val="00AD4671"/>
    <w:rsid w:val="00AD4ED6"/>
    <w:rsid w:val="00AD679B"/>
    <w:rsid w:val="00AD7374"/>
    <w:rsid w:val="00AD7815"/>
    <w:rsid w:val="00AD79CF"/>
    <w:rsid w:val="00AE1E92"/>
    <w:rsid w:val="00AE313D"/>
    <w:rsid w:val="00AE393B"/>
    <w:rsid w:val="00AE3EE3"/>
    <w:rsid w:val="00AE3F64"/>
    <w:rsid w:val="00AE40E8"/>
    <w:rsid w:val="00AE48CA"/>
    <w:rsid w:val="00AE4948"/>
    <w:rsid w:val="00AE5324"/>
    <w:rsid w:val="00AE7CFF"/>
    <w:rsid w:val="00AF1740"/>
    <w:rsid w:val="00AF2721"/>
    <w:rsid w:val="00AF2EF3"/>
    <w:rsid w:val="00AF4B62"/>
    <w:rsid w:val="00AF729F"/>
    <w:rsid w:val="00B00033"/>
    <w:rsid w:val="00B001E5"/>
    <w:rsid w:val="00B00955"/>
    <w:rsid w:val="00B01277"/>
    <w:rsid w:val="00B01AFD"/>
    <w:rsid w:val="00B01B0E"/>
    <w:rsid w:val="00B01EDA"/>
    <w:rsid w:val="00B0227D"/>
    <w:rsid w:val="00B04AA4"/>
    <w:rsid w:val="00B04C42"/>
    <w:rsid w:val="00B0670D"/>
    <w:rsid w:val="00B077A9"/>
    <w:rsid w:val="00B1113B"/>
    <w:rsid w:val="00B1167F"/>
    <w:rsid w:val="00B11E94"/>
    <w:rsid w:val="00B122E0"/>
    <w:rsid w:val="00B129A5"/>
    <w:rsid w:val="00B13601"/>
    <w:rsid w:val="00B154F7"/>
    <w:rsid w:val="00B2021A"/>
    <w:rsid w:val="00B209AF"/>
    <w:rsid w:val="00B20D6A"/>
    <w:rsid w:val="00B2100F"/>
    <w:rsid w:val="00B21D0F"/>
    <w:rsid w:val="00B24F8B"/>
    <w:rsid w:val="00B2581E"/>
    <w:rsid w:val="00B31E12"/>
    <w:rsid w:val="00B35261"/>
    <w:rsid w:val="00B362E5"/>
    <w:rsid w:val="00B377A9"/>
    <w:rsid w:val="00B4092B"/>
    <w:rsid w:val="00B414A8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1FDE"/>
    <w:rsid w:val="00B53370"/>
    <w:rsid w:val="00B53BC4"/>
    <w:rsid w:val="00B614DA"/>
    <w:rsid w:val="00B61E4A"/>
    <w:rsid w:val="00B63D52"/>
    <w:rsid w:val="00B63F26"/>
    <w:rsid w:val="00B65C56"/>
    <w:rsid w:val="00B6627C"/>
    <w:rsid w:val="00B66E13"/>
    <w:rsid w:val="00B70AAF"/>
    <w:rsid w:val="00B722EC"/>
    <w:rsid w:val="00B72C01"/>
    <w:rsid w:val="00B72D96"/>
    <w:rsid w:val="00B753A3"/>
    <w:rsid w:val="00B754ED"/>
    <w:rsid w:val="00B7572B"/>
    <w:rsid w:val="00B7642C"/>
    <w:rsid w:val="00B7662C"/>
    <w:rsid w:val="00B806A7"/>
    <w:rsid w:val="00B8117A"/>
    <w:rsid w:val="00B8166A"/>
    <w:rsid w:val="00B81F26"/>
    <w:rsid w:val="00B82CBA"/>
    <w:rsid w:val="00B84158"/>
    <w:rsid w:val="00B84EDC"/>
    <w:rsid w:val="00B86123"/>
    <w:rsid w:val="00B86AAF"/>
    <w:rsid w:val="00B910BB"/>
    <w:rsid w:val="00B910CE"/>
    <w:rsid w:val="00B92F51"/>
    <w:rsid w:val="00B93E16"/>
    <w:rsid w:val="00B96228"/>
    <w:rsid w:val="00B964C4"/>
    <w:rsid w:val="00B975D7"/>
    <w:rsid w:val="00BA24B3"/>
    <w:rsid w:val="00BA2779"/>
    <w:rsid w:val="00BA391D"/>
    <w:rsid w:val="00BA5283"/>
    <w:rsid w:val="00BA6604"/>
    <w:rsid w:val="00BA6D92"/>
    <w:rsid w:val="00BB0A2D"/>
    <w:rsid w:val="00BB2CE4"/>
    <w:rsid w:val="00BB36B1"/>
    <w:rsid w:val="00BB529A"/>
    <w:rsid w:val="00BB5F33"/>
    <w:rsid w:val="00BB6D7B"/>
    <w:rsid w:val="00BB7981"/>
    <w:rsid w:val="00BC09BD"/>
    <w:rsid w:val="00BC09E7"/>
    <w:rsid w:val="00BC349B"/>
    <w:rsid w:val="00BC3D84"/>
    <w:rsid w:val="00BC4A7A"/>
    <w:rsid w:val="00BC6C04"/>
    <w:rsid w:val="00BC74EB"/>
    <w:rsid w:val="00BD03B4"/>
    <w:rsid w:val="00BD1251"/>
    <w:rsid w:val="00BD1D8E"/>
    <w:rsid w:val="00BD1F09"/>
    <w:rsid w:val="00BD2CBF"/>
    <w:rsid w:val="00BD2F0B"/>
    <w:rsid w:val="00BD5C71"/>
    <w:rsid w:val="00BD5E54"/>
    <w:rsid w:val="00BD6F8F"/>
    <w:rsid w:val="00BE00A7"/>
    <w:rsid w:val="00BE03ED"/>
    <w:rsid w:val="00BE0623"/>
    <w:rsid w:val="00BE16D9"/>
    <w:rsid w:val="00BE19FD"/>
    <w:rsid w:val="00BE3B4F"/>
    <w:rsid w:val="00BE6D4B"/>
    <w:rsid w:val="00BE7724"/>
    <w:rsid w:val="00BE7D82"/>
    <w:rsid w:val="00BF0508"/>
    <w:rsid w:val="00BF15EA"/>
    <w:rsid w:val="00BF2955"/>
    <w:rsid w:val="00BF2B6A"/>
    <w:rsid w:val="00BF3EA9"/>
    <w:rsid w:val="00BF5B2D"/>
    <w:rsid w:val="00BF649F"/>
    <w:rsid w:val="00BF7D3E"/>
    <w:rsid w:val="00C00A1B"/>
    <w:rsid w:val="00C00ADD"/>
    <w:rsid w:val="00C01C9D"/>
    <w:rsid w:val="00C02189"/>
    <w:rsid w:val="00C02EB7"/>
    <w:rsid w:val="00C065BB"/>
    <w:rsid w:val="00C10277"/>
    <w:rsid w:val="00C108E7"/>
    <w:rsid w:val="00C118A6"/>
    <w:rsid w:val="00C123DF"/>
    <w:rsid w:val="00C13E8E"/>
    <w:rsid w:val="00C14227"/>
    <w:rsid w:val="00C14D9B"/>
    <w:rsid w:val="00C1530C"/>
    <w:rsid w:val="00C15C7B"/>
    <w:rsid w:val="00C15CCA"/>
    <w:rsid w:val="00C17EC4"/>
    <w:rsid w:val="00C20CCA"/>
    <w:rsid w:val="00C24FEE"/>
    <w:rsid w:val="00C251AE"/>
    <w:rsid w:val="00C2563C"/>
    <w:rsid w:val="00C259EA"/>
    <w:rsid w:val="00C26C08"/>
    <w:rsid w:val="00C27D4A"/>
    <w:rsid w:val="00C303B5"/>
    <w:rsid w:val="00C32523"/>
    <w:rsid w:val="00C335D7"/>
    <w:rsid w:val="00C33F0A"/>
    <w:rsid w:val="00C3633C"/>
    <w:rsid w:val="00C36C90"/>
    <w:rsid w:val="00C379DE"/>
    <w:rsid w:val="00C41FCB"/>
    <w:rsid w:val="00C42E23"/>
    <w:rsid w:val="00C43B27"/>
    <w:rsid w:val="00C46286"/>
    <w:rsid w:val="00C509B3"/>
    <w:rsid w:val="00C50D0A"/>
    <w:rsid w:val="00C53B18"/>
    <w:rsid w:val="00C53D7B"/>
    <w:rsid w:val="00C53EEC"/>
    <w:rsid w:val="00C552EE"/>
    <w:rsid w:val="00C55D07"/>
    <w:rsid w:val="00C57165"/>
    <w:rsid w:val="00C60EB5"/>
    <w:rsid w:val="00C60F65"/>
    <w:rsid w:val="00C6106A"/>
    <w:rsid w:val="00C61F30"/>
    <w:rsid w:val="00C6245D"/>
    <w:rsid w:val="00C63433"/>
    <w:rsid w:val="00C63877"/>
    <w:rsid w:val="00C6473A"/>
    <w:rsid w:val="00C6499F"/>
    <w:rsid w:val="00C64ABA"/>
    <w:rsid w:val="00C71AC7"/>
    <w:rsid w:val="00C72049"/>
    <w:rsid w:val="00C72A27"/>
    <w:rsid w:val="00C72F12"/>
    <w:rsid w:val="00C73ED3"/>
    <w:rsid w:val="00C73FD8"/>
    <w:rsid w:val="00C7533F"/>
    <w:rsid w:val="00C76010"/>
    <w:rsid w:val="00C77248"/>
    <w:rsid w:val="00C80E98"/>
    <w:rsid w:val="00C8120F"/>
    <w:rsid w:val="00C82942"/>
    <w:rsid w:val="00C83CD8"/>
    <w:rsid w:val="00C8598C"/>
    <w:rsid w:val="00C85E56"/>
    <w:rsid w:val="00C86D29"/>
    <w:rsid w:val="00C872DF"/>
    <w:rsid w:val="00C9064D"/>
    <w:rsid w:val="00C920F8"/>
    <w:rsid w:val="00C9508E"/>
    <w:rsid w:val="00C95E48"/>
    <w:rsid w:val="00C95F23"/>
    <w:rsid w:val="00C963B8"/>
    <w:rsid w:val="00C96864"/>
    <w:rsid w:val="00C974C7"/>
    <w:rsid w:val="00CA279C"/>
    <w:rsid w:val="00CA4496"/>
    <w:rsid w:val="00CA5402"/>
    <w:rsid w:val="00CA595B"/>
    <w:rsid w:val="00CA64E8"/>
    <w:rsid w:val="00CA653C"/>
    <w:rsid w:val="00CA7B37"/>
    <w:rsid w:val="00CB1076"/>
    <w:rsid w:val="00CB112F"/>
    <w:rsid w:val="00CB2C93"/>
    <w:rsid w:val="00CB4901"/>
    <w:rsid w:val="00CB514C"/>
    <w:rsid w:val="00CB5A8A"/>
    <w:rsid w:val="00CB63DF"/>
    <w:rsid w:val="00CB7446"/>
    <w:rsid w:val="00CB7629"/>
    <w:rsid w:val="00CC09B8"/>
    <w:rsid w:val="00CC0AB2"/>
    <w:rsid w:val="00CC1627"/>
    <w:rsid w:val="00CC1A4C"/>
    <w:rsid w:val="00CC314F"/>
    <w:rsid w:val="00CC5160"/>
    <w:rsid w:val="00CC64E8"/>
    <w:rsid w:val="00CC6931"/>
    <w:rsid w:val="00CD2A31"/>
    <w:rsid w:val="00CD381A"/>
    <w:rsid w:val="00CD7E5D"/>
    <w:rsid w:val="00CE10DA"/>
    <w:rsid w:val="00CE1624"/>
    <w:rsid w:val="00CE3CB0"/>
    <w:rsid w:val="00CE42CE"/>
    <w:rsid w:val="00CE5CDD"/>
    <w:rsid w:val="00CE5EF9"/>
    <w:rsid w:val="00CE679C"/>
    <w:rsid w:val="00CF07C3"/>
    <w:rsid w:val="00CF0903"/>
    <w:rsid w:val="00CF12DF"/>
    <w:rsid w:val="00CF1764"/>
    <w:rsid w:val="00CF3529"/>
    <w:rsid w:val="00CF4079"/>
    <w:rsid w:val="00CF4700"/>
    <w:rsid w:val="00CF4A12"/>
    <w:rsid w:val="00CF69F8"/>
    <w:rsid w:val="00CF76A4"/>
    <w:rsid w:val="00CF7AF1"/>
    <w:rsid w:val="00D00241"/>
    <w:rsid w:val="00D00F73"/>
    <w:rsid w:val="00D01860"/>
    <w:rsid w:val="00D0259B"/>
    <w:rsid w:val="00D02D1F"/>
    <w:rsid w:val="00D03046"/>
    <w:rsid w:val="00D03C63"/>
    <w:rsid w:val="00D04FB7"/>
    <w:rsid w:val="00D0574A"/>
    <w:rsid w:val="00D05DDE"/>
    <w:rsid w:val="00D05FE6"/>
    <w:rsid w:val="00D11349"/>
    <w:rsid w:val="00D113D0"/>
    <w:rsid w:val="00D11D04"/>
    <w:rsid w:val="00D12F80"/>
    <w:rsid w:val="00D13AE3"/>
    <w:rsid w:val="00D13EAE"/>
    <w:rsid w:val="00D16660"/>
    <w:rsid w:val="00D21DB0"/>
    <w:rsid w:val="00D23039"/>
    <w:rsid w:val="00D26A2C"/>
    <w:rsid w:val="00D26E3A"/>
    <w:rsid w:val="00D27310"/>
    <w:rsid w:val="00D31FAA"/>
    <w:rsid w:val="00D3575F"/>
    <w:rsid w:val="00D36E6A"/>
    <w:rsid w:val="00D373F9"/>
    <w:rsid w:val="00D40985"/>
    <w:rsid w:val="00D42A44"/>
    <w:rsid w:val="00D42B14"/>
    <w:rsid w:val="00D42BF7"/>
    <w:rsid w:val="00D44368"/>
    <w:rsid w:val="00D44666"/>
    <w:rsid w:val="00D4524D"/>
    <w:rsid w:val="00D457CB"/>
    <w:rsid w:val="00D467C0"/>
    <w:rsid w:val="00D47234"/>
    <w:rsid w:val="00D50D92"/>
    <w:rsid w:val="00D51CC0"/>
    <w:rsid w:val="00D51D16"/>
    <w:rsid w:val="00D5251E"/>
    <w:rsid w:val="00D52E37"/>
    <w:rsid w:val="00D530FC"/>
    <w:rsid w:val="00D53A6A"/>
    <w:rsid w:val="00D56706"/>
    <w:rsid w:val="00D57A01"/>
    <w:rsid w:val="00D60393"/>
    <w:rsid w:val="00D6204B"/>
    <w:rsid w:val="00D62BA5"/>
    <w:rsid w:val="00D732CF"/>
    <w:rsid w:val="00D742E8"/>
    <w:rsid w:val="00D7544F"/>
    <w:rsid w:val="00D764C6"/>
    <w:rsid w:val="00D768DA"/>
    <w:rsid w:val="00D77E16"/>
    <w:rsid w:val="00D80109"/>
    <w:rsid w:val="00D801BD"/>
    <w:rsid w:val="00D8290D"/>
    <w:rsid w:val="00D83F1B"/>
    <w:rsid w:val="00D84772"/>
    <w:rsid w:val="00D8632D"/>
    <w:rsid w:val="00D865E2"/>
    <w:rsid w:val="00D86910"/>
    <w:rsid w:val="00D9050B"/>
    <w:rsid w:val="00D90BB7"/>
    <w:rsid w:val="00D90EED"/>
    <w:rsid w:val="00D91108"/>
    <w:rsid w:val="00D924D7"/>
    <w:rsid w:val="00D92CBD"/>
    <w:rsid w:val="00D94B47"/>
    <w:rsid w:val="00D94FDE"/>
    <w:rsid w:val="00D951E4"/>
    <w:rsid w:val="00D955A0"/>
    <w:rsid w:val="00D9650F"/>
    <w:rsid w:val="00D96F26"/>
    <w:rsid w:val="00DA0EB0"/>
    <w:rsid w:val="00DA14C1"/>
    <w:rsid w:val="00DA2353"/>
    <w:rsid w:val="00DA49C4"/>
    <w:rsid w:val="00DA579B"/>
    <w:rsid w:val="00DA5EAA"/>
    <w:rsid w:val="00DA6931"/>
    <w:rsid w:val="00DA7B6D"/>
    <w:rsid w:val="00DB093D"/>
    <w:rsid w:val="00DB15A4"/>
    <w:rsid w:val="00DB4D73"/>
    <w:rsid w:val="00DC0284"/>
    <w:rsid w:val="00DC0FDC"/>
    <w:rsid w:val="00DC1135"/>
    <w:rsid w:val="00DC11B2"/>
    <w:rsid w:val="00DC1E01"/>
    <w:rsid w:val="00DC300E"/>
    <w:rsid w:val="00DC3725"/>
    <w:rsid w:val="00DC4384"/>
    <w:rsid w:val="00DC506A"/>
    <w:rsid w:val="00DC52AF"/>
    <w:rsid w:val="00DC620A"/>
    <w:rsid w:val="00DC683E"/>
    <w:rsid w:val="00DC7541"/>
    <w:rsid w:val="00DC7A7B"/>
    <w:rsid w:val="00DD019D"/>
    <w:rsid w:val="00DD07F1"/>
    <w:rsid w:val="00DD0B7A"/>
    <w:rsid w:val="00DD2ACC"/>
    <w:rsid w:val="00DD3517"/>
    <w:rsid w:val="00DD42F7"/>
    <w:rsid w:val="00DD5151"/>
    <w:rsid w:val="00DD629D"/>
    <w:rsid w:val="00DD6924"/>
    <w:rsid w:val="00DE00F4"/>
    <w:rsid w:val="00DE10A1"/>
    <w:rsid w:val="00DE1D06"/>
    <w:rsid w:val="00DE208C"/>
    <w:rsid w:val="00DE3263"/>
    <w:rsid w:val="00DE3D87"/>
    <w:rsid w:val="00DE52C8"/>
    <w:rsid w:val="00DE5A24"/>
    <w:rsid w:val="00DE64A6"/>
    <w:rsid w:val="00DE6624"/>
    <w:rsid w:val="00DE6F84"/>
    <w:rsid w:val="00DE7B8F"/>
    <w:rsid w:val="00DF07EA"/>
    <w:rsid w:val="00DF0822"/>
    <w:rsid w:val="00DF1C1C"/>
    <w:rsid w:val="00DF1DF1"/>
    <w:rsid w:val="00DF2E3A"/>
    <w:rsid w:val="00DF30B2"/>
    <w:rsid w:val="00DF3962"/>
    <w:rsid w:val="00DF3A69"/>
    <w:rsid w:val="00DF5772"/>
    <w:rsid w:val="00DF6A8D"/>
    <w:rsid w:val="00DF734E"/>
    <w:rsid w:val="00DF7911"/>
    <w:rsid w:val="00E00401"/>
    <w:rsid w:val="00E0064E"/>
    <w:rsid w:val="00E00C0E"/>
    <w:rsid w:val="00E00EC5"/>
    <w:rsid w:val="00E024FD"/>
    <w:rsid w:val="00E036C5"/>
    <w:rsid w:val="00E03B7D"/>
    <w:rsid w:val="00E046AF"/>
    <w:rsid w:val="00E04AA7"/>
    <w:rsid w:val="00E04FD0"/>
    <w:rsid w:val="00E05483"/>
    <w:rsid w:val="00E0565D"/>
    <w:rsid w:val="00E06077"/>
    <w:rsid w:val="00E066F1"/>
    <w:rsid w:val="00E0719D"/>
    <w:rsid w:val="00E1195D"/>
    <w:rsid w:val="00E11E3E"/>
    <w:rsid w:val="00E121C1"/>
    <w:rsid w:val="00E12E0F"/>
    <w:rsid w:val="00E13783"/>
    <w:rsid w:val="00E14FA8"/>
    <w:rsid w:val="00E1551F"/>
    <w:rsid w:val="00E16304"/>
    <w:rsid w:val="00E17266"/>
    <w:rsid w:val="00E17A53"/>
    <w:rsid w:val="00E21127"/>
    <w:rsid w:val="00E231F0"/>
    <w:rsid w:val="00E24E40"/>
    <w:rsid w:val="00E25C5C"/>
    <w:rsid w:val="00E25D1C"/>
    <w:rsid w:val="00E26528"/>
    <w:rsid w:val="00E26559"/>
    <w:rsid w:val="00E27302"/>
    <w:rsid w:val="00E30016"/>
    <w:rsid w:val="00E305E7"/>
    <w:rsid w:val="00E3086F"/>
    <w:rsid w:val="00E32352"/>
    <w:rsid w:val="00E34386"/>
    <w:rsid w:val="00E3457D"/>
    <w:rsid w:val="00E34646"/>
    <w:rsid w:val="00E348AE"/>
    <w:rsid w:val="00E34F46"/>
    <w:rsid w:val="00E35263"/>
    <w:rsid w:val="00E355DA"/>
    <w:rsid w:val="00E35B20"/>
    <w:rsid w:val="00E36103"/>
    <w:rsid w:val="00E40D1A"/>
    <w:rsid w:val="00E415FC"/>
    <w:rsid w:val="00E418BE"/>
    <w:rsid w:val="00E42ED3"/>
    <w:rsid w:val="00E4359F"/>
    <w:rsid w:val="00E45111"/>
    <w:rsid w:val="00E45123"/>
    <w:rsid w:val="00E5146A"/>
    <w:rsid w:val="00E51951"/>
    <w:rsid w:val="00E51C55"/>
    <w:rsid w:val="00E5491D"/>
    <w:rsid w:val="00E54DE8"/>
    <w:rsid w:val="00E56680"/>
    <w:rsid w:val="00E56920"/>
    <w:rsid w:val="00E603D3"/>
    <w:rsid w:val="00E60DE4"/>
    <w:rsid w:val="00E61524"/>
    <w:rsid w:val="00E625B5"/>
    <w:rsid w:val="00E63217"/>
    <w:rsid w:val="00E645C5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63EB"/>
    <w:rsid w:val="00E76C99"/>
    <w:rsid w:val="00E76CEB"/>
    <w:rsid w:val="00E7705E"/>
    <w:rsid w:val="00E77957"/>
    <w:rsid w:val="00E77E03"/>
    <w:rsid w:val="00E8000F"/>
    <w:rsid w:val="00E815C6"/>
    <w:rsid w:val="00E81FF9"/>
    <w:rsid w:val="00E85372"/>
    <w:rsid w:val="00E85CE2"/>
    <w:rsid w:val="00E90D48"/>
    <w:rsid w:val="00E925EC"/>
    <w:rsid w:val="00E92756"/>
    <w:rsid w:val="00E9495E"/>
    <w:rsid w:val="00E966C7"/>
    <w:rsid w:val="00E96DC7"/>
    <w:rsid w:val="00E97D89"/>
    <w:rsid w:val="00EA386A"/>
    <w:rsid w:val="00EA3D27"/>
    <w:rsid w:val="00EA45E2"/>
    <w:rsid w:val="00EA488D"/>
    <w:rsid w:val="00EA523F"/>
    <w:rsid w:val="00EA58CD"/>
    <w:rsid w:val="00EA6146"/>
    <w:rsid w:val="00EA6828"/>
    <w:rsid w:val="00EA6A4E"/>
    <w:rsid w:val="00EA6EB8"/>
    <w:rsid w:val="00EB08BC"/>
    <w:rsid w:val="00EB0D40"/>
    <w:rsid w:val="00EB1DE9"/>
    <w:rsid w:val="00EB1FB5"/>
    <w:rsid w:val="00EB20E0"/>
    <w:rsid w:val="00EB2556"/>
    <w:rsid w:val="00EB384A"/>
    <w:rsid w:val="00EB44A8"/>
    <w:rsid w:val="00EB48B2"/>
    <w:rsid w:val="00EB52E0"/>
    <w:rsid w:val="00EB559D"/>
    <w:rsid w:val="00EB68D6"/>
    <w:rsid w:val="00EC0323"/>
    <w:rsid w:val="00EC07BD"/>
    <w:rsid w:val="00EC0D48"/>
    <w:rsid w:val="00EC194A"/>
    <w:rsid w:val="00EC3ADB"/>
    <w:rsid w:val="00EC45BF"/>
    <w:rsid w:val="00EC4AD1"/>
    <w:rsid w:val="00EC56EC"/>
    <w:rsid w:val="00EC6020"/>
    <w:rsid w:val="00EC61C3"/>
    <w:rsid w:val="00EC69D6"/>
    <w:rsid w:val="00ED0B5D"/>
    <w:rsid w:val="00ED17AD"/>
    <w:rsid w:val="00ED34F5"/>
    <w:rsid w:val="00ED39C4"/>
    <w:rsid w:val="00ED4E3B"/>
    <w:rsid w:val="00ED524E"/>
    <w:rsid w:val="00ED59A3"/>
    <w:rsid w:val="00ED6587"/>
    <w:rsid w:val="00EE0598"/>
    <w:rsid w:val="00EE0660"/>
    <w:rsid w:val="00EE0A13"/>
    <w:rsid w:val="00EE2641"/>
    <w:rsid w:val="00EE2716"/>
    <w:rsid w:val="00EE3B4A"/>
    <w:rsid w:val="00EE4416"/>
    <w:rsid w:val="00EE4B95"/>
    <w:rsid w:val="00EE6538"/>
    <w:rsid w:val="00EE7206"/>
    <w:rsid w:val="00EF017C"/>
    <w:rsid w:val="00EF08CF"/>
    <w:rsid w:val="00EF08D7"/>
    <w:rsid w:val="00EF189F"/>
    <w:rsid w:val="00EF1A03"/>
    <w:rsid w:val="00EF5D82"/>
    <w:rsid w:val="00EF5F40"/>
    <w:rsid w:val="00EF6243"/>
    <w:rsid w:val="00EF682C"/>
    <w:rsid w:val="00EF740A"/>
    <w:rsid w:val="00EF7894"/>
    <w:rsid w:val="00EF79EE"/>
    <w:rsid w:val="00EF7FA4"/>
    <w:rsid w:val="00F001AE"/>
    <w:rsid w:val="00F024AA"/>
    <w:rsid w:val="00F03496"/>
    <w:rsid w:val="00F03D4B"/>
    <w:rsid w:val="00F04CCC"/>
    <w:rsid w:val="00F05349"/>
    <w:rsid w:val="00F07FF3"/>
    <w:rsid w:val="00F12DF0"/>
    <w:rsid w:val="00F13704"/>
    <w:rsid w:val="00F20FDF"/>
    <w:rsid w:val="00F215C9"/>
    <w:rsid w:val="00F21C48"/>
    <w:rsid w:val="00F22F57"/>
    <w:rsid w:val="00F23F3D"/>
    <w:rsid w:val="00F2403A"/>
    <w:rsid w:val="00F273DE"/>
    <w:rsid w:val="00F278FD"/>
    <w:rsid w:val="00F27AC1"/>
    <w:rsid w:val="00F31E9D"/>
    <w:rsid w:val="00F3304C"/>
    <w:rsid w:val="00F338D6"/>
    <w:rsid w:val="00F33A22"/>
    <w:rsid w:val="00F33C9B"/>
    <w:rsid w:val="00F345B1"/>
    <w:rsid w:val="00F34692"/>
    <w:rsid w:val="00F36F99"/>
    <w:rsid w:val="00F37093"/>
    <w:rsid w:val="00F40921"/>
    <w:rsid w:val="00F429F4"/>
    <w:rsid w:val="00F43EC7"/>
    <w:rsid w:val="00F4576B"/>
    <w:rsid w:val="00F45E09"/>
    <w:rsid w:val="00F53B12"/>
    <w:rsid w:val="00F54428"/>
    <w:rsid w:val="00F54B10"/>
    <w:rsid w:val="00F54FED"/>
    <w:rsid w:val="00F60011"/>
    <w:rsid w:val="00F600DE"/>
    <w:rsid w:val="00F60136"/>
    <w:rsid w:val="00F60F63"/>
    <w:rsid w:val="00F61629"/>
    <w:rsid w:val="00F62B85"/>
    <w:rsid w:val="00F635B0"/>
    <w:rsid w:val="00F636DE"/>
    <w:rsid w:val="00F63E4D"/>
    <w:rsid w:val="00F65CA2"/>
    <w:rsid w:val="00F70892"/>
    <w:rsid w:val="00F712BD"/>
    <w:rsid w:val="00F72AAF"/>
    <w:rsid w:val="00F72E87"/>
    <w:rsid w:val="00F742D7"/>
    <w:rsid w:val="00F745FE"/>
    <w:rsid w:val="00F74BD8"/>
    <w:rsid w:val="00F74C3C"/>
    <w:rsid w:val="00F74E42"/>
    <w:rsid w:val="00F76671"/>
    <w:rsid w:val="00F7707B"/>
    <w:rsid w:val="00F770F7"/>
    <w:rsid w:val="00F77462"/>
    <w:rsid w:val="00F77A27"/>
    <w:rsid w:val="00F804B2"/>
    <w:rsid w:val="00F813A8"/>
    <w:rsid w:val="00F81AEB"/>
    <w:rsid w:val="00F82700"/>
    <w:rsid w:val="00F83202"/>
    <w:rsid w:val="00F8337F"/>
    <w:rsid w:val="00F84457"/>
    <w:rsid w:val="00F85E49"/>
    <w:rsid w:val="00F86458"/>
    <w:rsid w:val="00F86C77"/>
    <w:rsid w:val="00F879E7"/>
    <w:rsid w:val="00F9095A"/>
    <w:rsid w:val="00F92300"/>
    <w:rsid w:val="00F92B4A"/>
    <w:rsid w:val="00FA01CD"/>
    <w:rsid w:val="00FA085A"/>
    <w:rsid w:val="00FA23DB"/>
    <w:rsid w:val="00FA3E67"/>
    <w:rsid w:val="00FA4D98"/>
    <w:rsid w:val="00FA56B8"/>
    <w:rsid w:val="00FA5C98"/>
    <w:rsid w:val="00FB0BE7"/>
    <w:rsid w:val="00FB1A93"/>
    <w:rsid w:val="00FB3B7B"/>
    <w:rsid w:val="00FB5962"/>
    <w:rsid w:val="00FC38A6"/>
    <w:rsid w:val="00FC4B58"/>
    <w:rsid w:val="00FC55AC"/>
    <w:rsid w:val="00FC5C2B"/>
    <w:rsid w:val="00FC7121"/>
    <w:rsid w:val="00FC758B"/>
    <w:rsid w:val="00FC7B30"/>
    <w:rsid w:val="00FD14C9"/>
    <w:rsid w:val="00FD1792"/>
    <w:rsid w:val="00FD1E76"/>
    <w:rsid w:val="00FD22FC"/>
    <w:rsid w:val="00FD26D0"/>
    <w:rsid w:val="00FD2701"/>
    <w:rsid w:val="00FD2F5D"/>
    <w:rsid w:val="00FD341F"/>
    <w:rsid w:val="00FD3564"/>
    <w:rsid w:val="00FD4968"/>
    <w:rsid w:val="00FD4B11"/>
    <w:rsid w:val="00FD4C73"/>
    <w:rsid w:val="00FD4FB3"/>
    <w:rsid w:val="00FD729A"/>
    <w:rsid w:val="00FD795B"/>
    <w:rsid w:val="00FD7AE2"/>
    <w:rsid w:val="00FD7BC6"/>
    <w:rsid w:val="00FE0120"/>
    <w:rsid w:val="00FE06C7"/>
    <w:rsid w:val="00FE2E7D"/>
    <w:rsid w:val="00FE38E7"/>
    <w:rsid w:val="00FE4165"/>
    <w:rsid w:val="00FE5CEC"/>
    <w:rsid w:val="00FF0ACF"/>
    <w:rsid w:val="00FF13D3"/>
    <w:rsid w:val="00FF1EB8"/>
    <w:rsid w:val="00FF2AEC"/>
    <w:rsid w:val="00FF4559"/>
    <w:rsid w:val="00FF5A4C"/>
    <w:rsid w:val="00FF6E54"/>
    <w:rsid w:val="00FF73F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docId w15:val="{2C47CF5F-69CD-4976-A8BC-1222288D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unhideWhenUsed/>
    <w:rsid w:val="00DB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626D-78A0-4C96-99D5-21C97FBF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1444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安娜统计与临床</cp:lastModifiedBy>
  <cp:revision>12</cp:revision>
  <cp:lastPrinted>2020-09-25T03:59:00Z</cp:lastPrinted>
  <dcterms:created xsi:type="dcterms:W3CDTF">2021-06-21T08:19:00Z</dcterms:created>
  <dcterms:modified xsi:type="dcterms:W3CDTF">2021-06-29T04:48:00Z</dcterms:modified>
</cp:coreProperties>
</file>