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ind w:left="2640" w:hanging="2640" w:hangingChars="600"/>
        <w:rPr>
          <w:rFonts w:ascii="方正小标宋简体" w:eastAsia="方正小标宋简体"/>
          <w:sz w:val="44"/>
        </w:rPr>
      </w:pPr>
      <w:r>
        <w:rPr>
          <w:rFonts w:ascii="方正小标宋简体" w:eastAsia="方正小标宋简体"/>
          <w:sz w:val="44"/>
        </w:rPr>
        <w:t>江西省药品带量采购和使用工作情况通报（2021年第5期）</w:t>
      </w:r>
    </w:p>
    <w:p>
      <w:pPr>
        <w:spacing w:line="579" w:lineRule="exact"/>
        <w:ind w:firstLine="640" w:firstLineChars="200"/>
        <w:rPr>
          <w:rFonts w:ascii="仿宋_GB2312" w:eastAsia="仿宋_GB2312"/>
        </w:rPr>
      </w:pPr>
    </w:p>
    <w:p>
      <w:pPr>
        <w:spacing w:line="579" w:lineRule="exact"/>
        <w:ind w:firstLine="640" w:firstLineChars="200"/>
        <w:rPr>
          <w:rFonts w:ascii="仿宋_GB2312" w:eastAsia="仿宋_GB2312"/>
        </w:rPr>
      </w:pPr>
      <w:r>
        <w:rPr>
          <w:rFonts w:hint="eastAsia" w:ascii="仿宋_GB2312" w:eastAsia="仿宋_GB2312"/>
        </w:rPr>
        <w:t>现将截至2021年</w:t>
      </w:r>
      <w:r>
        <w:rPr>
          <w:rFonts w:ascii="仿宋_GB2312" w:eastAsia="仿宋_GB2312"/>
        </w:rPr>
        <w:t>4</w:t>
      </w:r>
      <w:r>
        <w:rPr>
          <w:rFonts w:hint="eastAsia" w:ascii="仿宋_GB2312" w:eastAsia="仿宋_GB2312"/>
        </w:rPr>
        <w:t>月3</w:t>
      </w:r>
      <w:r>
        <w:rPr>
          <w:rFonts w:ascii="仿宋_GB2312" w:eastAsia="仿宋_GB2312"/>
        </w:rPr>
        <w:t>0</w:t>
      </w:r>
      <w:r>
        <w:rPr>
          <w:rFonts w:hint="eastAsia" w:ascii="仿宋_GB2312" w:eastAsia="仿宋_GB2312"/>
        </w:rPr>
        <w:t>日的三批次</w:t>
      </w:r>
      <w:r>
        <w:rPr>
          <w:rFonts w:ascii="仿宋_GB2312" w:eastAsia="仿宋_GB2312"/>
        </w:rPr>
        <w:t>国家</w:t>
      </w:r>
      <w:r>
        <w:rPr>
          <w:rFonts w:hint="eastAsia" w:ascii="仿宋_GB2312" w:eastAsia="仿宋_GB2312"/>
        </w:rPr>
        <w:t>药品带量采购和第一批我省药品带量采购中选结果网上采购使用情况通报如下：</w:t>
      </w:r>
      <w:r>
        <w:rPr>
          <w:rFonts w:ascii="仿宋_GB2312" w:eastAsia="仿宋_GB2312"/>
        </w:rPr>
        <w:t xml:space="preserve">       </w:t>
      </w:r>
    </w:p>
    <w:p>
      <w:pPr>
        <w:spacing w:line="579" w:lineRule="exact"/>
        <w:ind w:firstLine="640" w:firstLineChars="200"/>
        <w:rPr>
          <w:rFonts w:ascii="黑体" w:eastAsia="黑体"/>
        </w:rPr>
      </w:pPr>
      <w:r>
        <w:rPr>
          <w:rFonts w:ascii="黑体" w:eastAsia="黑体"/>
        </w:rPr>
        <w:t>一、4+7扩围项目中选品种采购情况</w:t>
      </w:r>
    </w:p>
    <w:p>
      <w:pPr>
        <w:spacing w:line="579" w:lineRule="exact"/>
        <w:ind w:firstLine="640" w:firstLineChars="200"/>
        <w:rPr>
          <w:rFonts w:ascii="仿宋_GB2312" w:eastAsia="仿宋_GB2312"/>
        </w:rPr>
      </w:pPr>
      <w:r>
        <w:rPr>
          <w:rFonts w:hint="eastAsia" w:ascii="仿宋_GB2312" w:eastAsia="仿宋_GB2312"/>
        </w:rPr>
        <w:t>国家组织药品集中采购和使用试点扩围（即4+7扩围）中选结果自2020年12月20日开始进入第二个采购周期，从2020年12月20日至2021年</w:t>
      </w:r>
      <w:r>
        <w:rPr>
          <w:rFonts w:ascii="仿宋_GB2312" w:eastAsia="仿宋_GB2312"/>
        </w:rPr>
        <w:t>4</w:t>
      </w:r>
      <w:r>
        <w:rPr>
          <w:rFonts w:hint="eastAsia" w:ascii="仿宋_GB2312" w:eastAsia="仿宋_GB2312"/>
        </w:rPr>
        <w:t>月3</w:t>
      </w:r>
      <w:r>
        <w:rPr>
          <w:rFonts w:ascii="仿宋_GB2312" w:eastAsia="仿宋_GB2312"/>
        </w:rPr>
        <w:t>0</w:t>
      </w:r>
      <w:r>
        <w:rPr>
          <w:rFonts w:hint="eastAsia" w:ascii="仿宋_GB2312" w:eastAsia="仿宋_GB2312"/>
        </w:rPr>
        <w:t>日，采购情况如下：</w:t>
      </w:r>
    </w:p>
    <w:p>
      <w:pPr>
        <w:spacing w:line="579" w:lineRule="exact"/>
        <w:ind w:firstLine="643" w:firstLineChars="200"/>
        <w:rPr>
          <w:rFonts w:ascii="仿宋_GB2312" w:eastAsia="仿宋_GB2312"/>
        </w:rPr>
      </w:pPr>
      <w:r>
        <w:rPr>
          <w:rFonts w:ascii="楷体_GB2312" w:eastAsia="楷体_GB2312"/>
          <w:b/>
        </w:rPr>
        <w:t>（一）采购数量和金额。</w:t>
      </w:r>
      <w:r>
        <w:rPr>
          <w:rFonts w:hint="eastAsia" w:ascii="仿宋_GB2312" w:eastAsia="仿宋_GB2312"/>
        </w:rPr>
        <w:t>25个中选药品的31个品规在全省12个联盟地区采购总数量为</w:t>
      </w:r>
      <w:r>
        <w:rPr>
          <w:rFonts w:ascii="仿宋_GB2312" w:eastAsia="仿宋_GB2312"/>
        </w:rPr>
        <w:t>22149</w:t>
      </w:r>
      <w:r>
        <w:rPr>
          <w:rFonts w:hint="eastAsia" w:ascii="仿宋_GB2312" w:eastAsia="仿宋_GB2312"/>
        </w:rPr>
        <w:t>.5</w:t>
      </w:r>
      <w:r>
        <w:rPr>
          <w:rFonts w:ascii="仿宋_GB2312" w:eastAsia="仿宋_GB2312"/>
        </w:rPr>
        <w:t>9</w:t>
      </w:r>
      <w:r>
        <w:rPr>
          <w:rFonts w:hint="eastAsia" w:ascii="仿宋_GB2312" w:eastAsia="仿宋_GB2312"/>
        </w:rPr>
        <w:t>万片/支/袋。按药品统计，最高为厄贝沙坦75mg的</w:t>
      </w:r>
      <w:r>
        <w:rPr>
          <w:rFonts w:ascii="仿宋_GB2312" w:eastAsia="仿宋_GB2312"/>
        </w:rPr>
        <w:t>3752</w:t>
      </w:r>
      <w:r>
        <w:rPr>
          <w:rFonts w:hint="eastAsia" w:ascii="仿宋_GB2312" w:eastAsia="仿宋_GB2312"/>
        </w:rPr>
        <w:t>.</w:t>
      </w:r>
      <w:r>
        <w:rPr>
          <w:rFonts w:ascii="仿宋_GB2312" w:eastAsia="仿宋_GB2312"/>
        </w:rPr>
        <w:t>9</w:t>
      </w:r>
      <w:r>
        <w:rPr>
          <w:rFonts w:hint="eastAsia" w:ascii="仿宋_GB2312" w:eastAsia="仿宋_GB2312"/>
        </w:rPr>
        <w:t>2万片，最低为培美曲塞500mg的</w:t>
      </w:r>
      <w:r>
        <w:rPr>
          <w:rFonts w:ascii="仿宋_GB2312" w:eastAsia="仿宋_GB2312"/>
        </w:rPr>
        <w:t>884</w:t>
      </w:r>
      <w:r>
        <w:rPr>
          <w:rFonts w:hint="eastAsia" w:ascii="仿宋_GB2312" w:eastAsia="仿宋_GB2312"/>
        </w:rPr>
        <w:t>瓶。全省采购总金额为</w:t>
      </w:r>
      <w:r>
        <w:rPr>
          <w:rFonts w:ascii="仿宋_GB2312" w:eastAsia="仿宋_GB2312"/>
        </w:rPr>
        <w:t>20812.9</w:t>
      </w:r>
      <w:r>
        <w:rPr>
          <w:rFonts w:hint="eastAsia" w:ascii="仿宋_GB2312" w:eastAsia="仿宋_GB2312"/>
        </w:rPr>
        <w:t>万元，占同通用名药品采购金额的</w:t>
      </w:r>
      <w:r>
        <w:rPr>
          <w:rFonts w:ascii="仿宋_GB2312" w:eastAsia="仿宋_GB2312"/>
        </w:rPr>
        <w:t>68.87</w:t>
      </w:r>
      <w:r>
        <w:rPr>
          <w:rFonts w:hint="eastAsia" w:ascii="仿宋_GB2312" w:eastAsia="仿宋_GB2312"/>
        </w:rPr>
        <w:t>%。</w:t>
      </w:r>
    </w:p>
    <w:p>
      <w:pPr>
        <w:spacing w:line="579" w:lineRule="exact"/>
        <w:ind w:firstLine="643" w:firstLineChars="200"/>
        <w:rPr>
          <w:rFonts w:ascii="仿宋_GB2312" w:eastAsia="仿宋_GB2312"/>
        </w:rPr>
      </w:pPr>
      <w:r>
        <w:rPr>
          <w:rFonts w:ascii="楷体_GB2312" w:eastAsia="楷体_GB2312"/>
          <w:b/>
        </w:rPr>
        <w:t>（二）中选药完成进度和占比。</w:t>
      </w:r>
      <w:r>
        <w:rPr>
          <w:rFonts w:hint="eastAsia" w:ascii="仿宋_GB2312" w:eastAsia="仿宋_GB2312"/>
        </w:rPr>
        <w:t>25个中选药品的全省采购总数量占第二个采购周期约定采购总量的比例为</w:t>
      </w:r>
      <w:r>
        <w:rPr>
          <w:rFonts w:ascii="仿宋_GB2312" w:eastAsia="仿宋_GB2312"/>
        </w:rPr>
        <w:t>83.7</w:t>
      </w:r>
      <w:r>
        <w:rPr>
          <w:rFonts w:hint="eastAsia" w:ascii="仿宋_GB2312" w:eastAsia="仿宋_GB2312"/>
        </w:rPr>
        <w:t>%</w:t>
      </w:r>
      <w:r>
        <w:rPr>
          <w:rFonts w:ascii="仿宋_GB2312" w:eastAsia="仿宋_GB2312"/>
        </w:rPr>
        <w:t>，</w:t>
      </w:r>
      <w:r>
        <w:rPr>
          <w:rFonts w:hint="eastAsia" w:ascii="仿宋_GB2312" w:eastAsia="仿宋_GB2312"/>
        </w:rPr>
        <w:t>占同通用名药品采购总数量的比例为</w:t>
      </w:r>
      <w:r>
        <w:rPr>
          <w:rFonts w:ascii="仿宋_GB2312" w:eastAsia="仿宋_GB2312"/>
        </w:rPr>
        <w:t>94.15</w:t>
      </w:r>
      <w:r>
        <w:rPr>
          <w:rFonts w:hint="eastAsia" w:ascii="仿宋_GB2312" w:eastAsia="仿宋_GB2312"/>
        </w:rPr>
        <w:t>%。</w:t>
      </w:r>
    </w:p>
    <w:p>
      <w:pPr>
        <w:spacing w:line="579" w:lineRule="exact"/>
        <w:ind w:firstLine="643" w:firstLineChars="200"/>
        <w:rPr>
          <w:rFonts w:ascii="黑体" w:eastAsia="黑体"/>
        </w:rPr>
      </w:pPr>
      <w:r>
        <w:rPr>
          <w:rFonts w:ascii="楷体_GB2312" w:eastAsia="楷体_GB2312"/>
          <w:b/>
        </w:rPr>
        <w:t>（三）网上配送率。</w:t>
      </w:r>
      <w:r>
        <w:rPr>
          <w:rFonts w:ascii="仿宋_GB2312" w:eastAsia="仿宋_GB2312"/>
        </w:rPr>
        <w:t>全省总体网上配送率为</w:t>
      </w:r>
      <w:r>
        <w:rPr>
          <w:rFonts w:hint="eastAsia" w:ascii="仿宋_GB2312" w:eastAsia="仿宋_GB2312"/>
        </w:rPr>
        <w:t>8</w:t>
      </w:r>
      <w:r>
        <w:rPr>
          <w:rFonts w:ascii="仿宋_GB2312" w:eastAsia="仿宋_GB2312"/>
        </w:rPr>
        <w:t>4</w:t>
      </w:r>
      <w:r>
        <w:rPr>
          <w:rFonts w:hint="eastAsia" w:ascii="仿宋_GB2312" w:eastAsia="仿宋_GB2312"/>
        </w:rPr>
        <w:t>.88%</w:t>
      </w:r>
      <w:r>
        <w:rPr>
          <w:rFonts w:ascii="仿宋_GB2312" w:eastAsia="仿宋_GB2312"/>
        </w:rPr>
        <w:t>。</w:t>
      </w:r>
    </w:p>
    <w:p>
      <w:pPr>
        <w:spacing w:line="579" w:lineRule="exact"/>
        <w:ind w:firstLine="640" w:firstLineChars="200"/>
        <w:outlineLvl w:val="0"/>
        <w:rPr>
          <w:rFonts w:ascii="黑体" w:eastAsia="黑体"/>
        </w:rPr>
      </w:pPr>
      <w:r>
        <w:rPr>
          <w:rFonts w:ascii="黑体" w:eastAsia="黑体"/>
        </w:rPr>
        <w:t>二、第二批国家集采项目中选品种采购情况</w:t>
      </w:r>
    </w:p>
    <w:p>
      <w:pPr>
        <w:spacing w:line="579" w:lineRule="exact"/>
        <w:ind w:firstLine="640" w:firstLineChars="200"/>
        <w:rPr>
          <w:rFonts w:ascii="仿宋_GB2312" w:eastAsia="仿宋_GB2312"/>
        </w:rPr>
      </w:pPr>
      <w:r>
        <w:rPr>
          <w:rFonts w:hint="eastAsia" w:ascii="仿宋_GB2312" w:eastAsia="仿宋_GB2312"/>
        </w:rPr>
        <w:t>第二批国家组织药品集中采购和使用江西中选结果自202</w:t>
      </w:r>
      <w:r>
        <w:rPr>
          <w:rFonts w:ascii="仿宋_GB2312" w:eastAsia="仿宋_GB2312"/>
        </w:rPr>
        <w:t>1</w:t>
      </w:r>
      <w:r>
        <w:rPr>
          <w:rFonts w:hint="eastAsia" w:ascii="仿宋_GB2312" w:eastAsia="仿宋_GB2312"/>
        </w:rPr>
        <w:t>年4月1</w:t>
      </w:r>
      <w:r>
        <w:rPr>
          <w:rFonts w:ascii="仿宋_GB2312" w:eastAsia="仿宋_GB2312"/>
        </w:rPr>
        <w:t>1</w:t>
      </w:r>
      <w:r>
        <w:rPr>
          <w:rFonts w:hint="eastAsia" w:ascii="仿宋_GB2312" w:eastAsia="仿宋_GB2312"/>
        </w:rPr>
        <w:t>日开始进入第二个采购周期，从2</w:t>
      </w:r>
      <w:r>
        <w:rPr>
          <w:rFonts w:ascii="仿宋_GB2312" w:eastAsia="仿宋_GB2312"/>
        </w:rPr>
        <w:t>021</w:t>
      </w:r>
      <w:r>
        <w:rPr>
          <w:rFonts w:hint="eastAsia" w:ascii="仿宋_GB2312" w:eastAsia="仿宋_GB2312"/>
        </w:rPr>
        <w:t>年4月1</w:t>
      </w:r>
      <w:r>
        <w:rPr>
          <w:rFonts w:ascii="仿宋_GB2312" w:eastAsia="仿宋_GB2312"/>
        </w:rPr>
        <w:t>1</w:t>
      </w:r>
      <w:r>
        <w:rPr>
          <w:rFonts w:hint="eastAsia" w:ascii="仿宋_GB2312" w:eastAsia="仿宋_GB2312"/>
        </w:rPr>
        <w:t>日至2</w:t>
      </w:r>
      <w:r>
        <w:rPr>
          <w:rFonts w:ascii="仿宋_GB2312" w:eastAsia="仿宋_GB2312"/>
        </w:rPr>
        <w:t>021</w:t>
      </w:r>
      <w:r>
        <w:rPr>
          <w:rFonts w:hint="eastAsia" w:ascii="仿宋_GB2312" w:eastAsia="仿宋_GB2312"/>
        </w:rPr>
        <w:t>年4月3</w:t>
      </w:r>
      <w:r>
        <w:rPr>
          <w:rFonts w:ascii="仿宋_GB2312" w:eastAsia="仿宋_GB2312"/>
        </w:rPr>
        <w:t>0</w:t>
      </w:r>
      <w:r>
        <w:rPr>
          <w:rFonts w:hint="eastAsia" w:ascii="仿宋_GB2312" w:eastAsia="仿宋_GB2312"/>
        </w:rPr>
        <w:t>日，采购情况如下：</w:t>
      </w:r>
    </w:p>
    <w:p>
      <w:pPr>
        <w:spacing w:line="579" w:lineRule="exact"/>
        <w:ind w:firstLine="643" w:firstLineChars="200"/>
        <w:rPr>
          <w:rFonts w:ascii="仿宋_GB2312" w:eastAsia="仿宋_GB2312"/>
        </w:rPr>
      </w:pPr>
      <w:r>
        <w:rPr>
          <w:rFonts w:ascii="楷体_GB2312" w:eastAsia="楷体_GB2312"/>
          <w:b/>
        </w:rPr>
        <w:t>（一）采购数量和金额。</w:t>
      </w:r>
      <w:r>
        <w:rPr>
          <w:rFonts w:ascii="仿宋_GB2312" w:eastAsia="仿宋_GB2312"/>
        </w:rPr>
        <w:t>32个中选药品的36个品规在全省12个联盟地区采购总数量为2785.32</w:t>
      </w:r>
      <w:r>
        <w:rPr>
          <w:rFonts w:hint="eastAsia" w:ascii="仿宋_GB2312" w:eastAsia="仿宋_GB2312"/>
        </w:rPr>
        <w:t>万</w:t>
      </w:r>
      <w:r>
        <w:rPr>
          <w:rFonts w:ascii="仿宋_GB2312" w:eastAsia="仿宋_GB2312"/>
        </w:rPr>
        <w:t>片/支/袋。按药品统计，最高为阿卡波糖50mg的1295.55</w:t>
      </w:r>
      <w:r>
        <w:rPr>
          <w:rFonts w:hint="eastAsia" w:ascii="仿宋_GB2312" w:eastAsia="仿宋_GB2312"/>
        </w:rPr>
        <w:t>万</w:t>
      </w:r>
      <w:r>
        <w:rPr>
          <w:rFonts w:ascii="仿宋_GB2312" w:eastAsia="仿宋_GB2312"/>
        </w:rPr>
        <w:t>片，最低为安立生坦5mg的3270</w:t>
      </w:r>
      <w:r>
        <w:rPr>
          <w:rFonts w:hint="eastAsia" w:ascii="仿宋_GB2312" w:eastAsia="仿宋_GB2312"/>
        </w:rPr>
        <w:t>万片</w:t>
      </w:r>
      <w:r>
        <w:rPr>
          <w:rFonts w:ascii="仿宋_GB2312" w:eastAsia="仿宋_GB2312"/>
        </w:rPr>
        <w:t>。全省采购总金额为1318.41</w:t>
      </w:r>
      <w:r>
        <w:rPr>
          <w:rFonts w:hint="eastAsia" w:ascii="仿宋_GB2312" w:eastAsia="仿宋_GB2312"/>
        </w:rPr>
        <w:t>万</w:t>
      </w:r>
      <w:r>
        <w:rPr>
          <w:rFonts w:ascii="仿宋_GB2312" w:eastAsia="仿宋_GB2312"/>
        </w:rPr>
        <w:t>元，占同</w:t>
      </w:r>
      <w:r>
        <w:rPr>
          <w:rFonts w:hint="eastAsia" w:ascii="仿宋_GB2312" w:eastAsia="仿宋_GB2312"/>
        </w:rPr>
        <w:t>通用名</w:t>
      </w:r>
      <w:r>
        <w:rPr>
          <w:rFonts w:ascii="仿宋_GB2312" w:eastAsia="仿宋_GB2312"/>
        </w:rPr>
        <w:t>药品采购金额的75.58%。</w:t>
      </w:r>
    </w:p>
    <w:p>
      <w:pPr>
        <w:spacing w:line="579" w:lineRule="exact"/>
        <w:ind w:firstLine="643" w:firstLineChars="200"/>
        <w:rPr>
          <w:rFonts w:ascii="仿宋_GB2312" w:eastAsia="仿宋_GB2312"/>
        </w:rPr>
      </w:pPr>
      <w:r>
        <w:rPr>
          <w:rFonts w:ascii="楷体_GB2312" w:eastAsia="楷体_GB2312"/>
          <w:b/>
        </w:rPr>
        <w:t>（二）中选药完成进度和占比。</w:t>
      </w:r>
      <w:r>
        <w:rPr>
          <w:rFonts w:ascii="仿宋_GB2312" w:eastAsia="仿宋_GB2312"/>
        </w:rPr>
        <w:t>32个中选药品的全省采购总数量占</w:t>
      </w:r>
      <w:r>
        <w:rPr>
          <w:rFonts w:hint="eastAsia" w:ascii="仿宋_GB2312" w:eastAsia="仿宋_GB2312"/>
        </w:rPr>
        <w:t>第二个采购周期</w:t>
      </w:r>
      <w:r>
        <w:rPr>
          <w:rFonts w:ascii="仿宋_GB2312" w:eastAsia="仿宋_GB2312"/>
        </w:rPr>
        <w:t>约定采购总量的比例为14.19</w:t>
      </w:r>
      <w:r>
        <w:rPr>
          <w:rFonts w:hint="eastAsia" w:ascii="仿宋_GB2312" w:eastAsia="仿宋_GB2312"/>
        </w:rPr>
        <w:t>%</w:t>
      </w:r>
      <w:r>
        <w:rPr>
          <w:rFonts w:ascii="仿宋_GB2312" w:eastAsia="仿宋_GB2312"/>
        </w:rPr>
        <w:t>，占同</w:t>
      </w:r>
      <w:r>
        <w:rPr>
          <w:rFonts w:hint="eastAsia" w:ascii="仿宋_GB2312" w:eastAsia="仿宋_GB2312"/>
        </w:rPr>
        <w:t>通用名</w:t>
      </w:r>
      <w:r>
        <w:rPr>
          <w:rFonts w:ascii="仿宋_GB2312" w:eastAsia="仿宋_GB2312"/>
        </w:rPr>
        <w:t>药品采购总数量的比例为90.71</w:t>
      </w:r>
      <w:r>
        <w:rPr>
          <w:rFonts w:hint="eastAsia" w:ascii="仿宋_GB2312" w:eastAsia="仿宋_GB2312"/>
        </w:rPr>
        <w:t>%</w:t>
      </w:r>
      <w:r>
        <w:rPr>
          <w:rFonts w:ascii="仿宋_GB2312" w:eastAsia="仿宋_GB2312"/>
        </w:rPr>
        <w:t>。</w:t>
      </w:r>
    </w:p>
    <w:p>
      <w:pPr>
        <w:spacing w:line="579" w:lineRule="exact"/>
        <w:ind w:firstLine="643" w:firstLineChars="200"/>
        <w:rPr>
          <w:rFonts w:ascii="仿宋_GB2312" w:hAnsi="仿宋_GB2312" w:eastAsia="仿宋_GB2312" w:cs="仿宋_GB2312"/>
          <w:bCs/>
        </w:rPr>
      </w:pPr>
      <w:r>
        <w:rPr>
          <w:rFonts w:ascii="楷体_GB2312" w:eastAsia="楷体_GB2312"/>
          <w:b/>
        </w:rPr>
        <w:t>（三）网上配送率。</w:t>
      </w:r>
      <w:r>
        <w:rPr>
          <w:rFonts w:ascii="仿宋_GB2312" w:eastAsia="仿宋_GB2312"/>
        </w:rPr>
        <w:t>全省总体网上配送率为70.18</w:t>
      </w:r>
      <w:r>
        <w:rPr>
          <w:rFonts w:hint="eastAsia" w:ascii="仿宋_GB2312" w:eastAsia="仿宋_GB2312"/>
        </w:rPr>
        <w:t>%</w:t>
      </w:r>
      <w:r>
        <w:rPr>
          <w:rFonts w:ascii="仿宋_GB2312" w:eastAsia="仿宋_GB2312"/>
        </w:rPr>
        <w:t>。</w:t>
      </w:r>
    </w:p>
    <w:p>
      <w:pPr>
        <w:spacing w:line="579" w:lineRule="exact"/>
        <w:ind w:firstLine="640" w:firstLineChars="200"/>
        <w:outlineLvl w:val="0"/>
        <w:rPr>
          <w:rFonts w:ascii="黑体" w:eastAsia="黑体"/>
        </w:rPr>
      </w:pPr>
      <w:r>
        <w:rPr>
          <w:rFonts w:ascii="黑体" w:eastAsia="黑体"/>
        </w:rPr>
        <w:t>三、第</w:t>
      </w:r>
      <w:r>
        <w:rPr>
          <w:rFonts w:hint="eastAsia" w:ascii="黑体" w:eastAsia="黑体"/>
        </w:rPr>
        <w:t>三</w:t>
      </w:r>
      <w:r>
        <w:rPr>
          <w:rFonts w:ascii="黑体" w:eastAsia="黑体"/>
        </w:rPr>
        <w:t>批国家集采项目中选品种采购情况</w:t>
      </w:r>
    </w:p>
    <w:p>
      <w:pPr>
        <w:spacing w:line="579" w:lineRule="exact"/>
        <w:ind w:firstLine="640" w:firstLineChars="200"/>
        <w:rPr>
          <w:rFonts w:ascii="楷体_GB2312" w:eastAsia="楷体_GB2312"/>
          <w:b/>
        </w:rPr>
      </w:pPr>
      <w:r>
        <w:rPr>
          <w:rFonts w:hint="eastAsia" w:ascii="仿宋_GB2312" w:eastAsia="仿宋_GB2312"/>
        </w:rPr>
        <w:t>第三批国家组织药品集中采购和使用江西中选结果自2020年11月20日开始执行，截至2021年</w:t>
      </w:r>
      <w:r>
        <w:rPr>
          <w:rFonts w:ascii="仿宋_GB2312" w:eastAsia="仿宋_GB2312"/>
        </w:rPr>
        <w:t>4</w:t>
      </w:r>
      <w:r>
        <w:rPr>
          <w:rFonts w:hint="eastAsia" w:ascii="仿宋_GB2312" w:eastAsia="仿宋_GB2312"/>
        </w:rPr>
        <w:t>月3</w:t>
      </w:r>
      <w:r>
        <w:rPr>
          <w:rFonts w:ascii="仿宋_GB2312" w:eastAsia="仿宋_GB2312"/>
        </w:rPr>
        <w:t>0</w:t>
      </w:r>
      <w:r>
        <w:rPr>
          <w:rFonts w:hint="eastAsia" w:ascii="仿宋_GB2312" w:eastAsia="仿宋_GB2312"/>
        </w:rPr>
        <w:t>日，采购情况如下：</w:t>
      </w:r>
    </w:p>
    <w:p>
      <w:pPr>
        <w:spacing w:line="579" w:lineRule="exact"/>
        <w:ind w:firstLine="643" w:firstLineChars="200"/>
        <w:rPr>
          <w:rFonts w:ascii="仿宋_GB2312" w:eastAsia="仿宋_GB2312"/>
        </w:rPr>
      </w:pPr>
      <w:r>
        <w:rPr>
          <w:rFonts w:ascii="楷体_GB2312" w:eastAsia="楷体_GB2312"/>
          <w:b/>
        </w:rPr>
        <w:t>（一）采购数量和金额。</w:t>
      </w:r>
      <w:r>
        <w:rPr>
          <w:rFonts w:ascii="仿宋_GB2312" w:eastAsia="仿宋_GB2312"/>
        </w:rPr>
        <w:t>55个中选药品的66个品规在全省12个联盟地区采购总数量为21749.82</w:t>
      </w:r>
      <w:r>
        <w:rPr>
          <w:rFonts w:hint="eastAsia" w:ascii="仿宋_GB2312" w:eastAsia="仿宋_GB2312"/>
        </w:rPr>
        <w:t>万</w:t>
      </w:r>
      <w:r>
        <w:rPr>
          <w:rFonts w:ascii="仿宋_GB2312" w:eastAsia="仿宋_GB2312"/>
        </w:rPr>
        <w:t>片/支/袋。按药品统计，最高为</w:t>
      </w:r>
      <w:r>
        <w:rPr>
          <w:rFonts w:hint="eastAsia" w:ascii="仿宋_GB2312" w:eastAsia="仿宋_GB2312"/>
        </w:rPr>
        <w:t>二甲双胍0</w:t>
      </w:r>
      <w:r>
        <w:rPr>
          <w:rFonts w:ascii="仿宋_GB2312" w:eastAsia="仿宋_GB2312"/>
        </w:rPr>
        <w:t>.5g的4176.96</w:t>
      </w:r>
      <w:r>
        <w:rPr>
          <w:rFonts w:hint="eastAsia" w:ascii="仿宋_GB2312" w:eastAsia="仿宋_GB2312"/>
        </w:rPr>
        <w:t>万</w:t>
      </w:r>
      <w:r>
        <w:rPr>
          <w:rFonts w:ascii="仿宋_GB2312" w:eastAsia="仿宋_GB2312"/>
        </w:rPr>
        <w:t>片，最低为</w:t>
      </w:r>
      <w:r>
        <w:rPr>
          <w:rFonts w:hint="eastAsia" w:ascii="仿宋_GB2312" w:eastAsia="仿宋_GB2312"/>
        </w:rPr>
        <w:t>依托考昔1</w:t>
      </w:r>
      <w:r>
        <w:rPr>
          <w:rFonts w:ascii="仿宋_GB2312" w:eastAsia="仿宋_GB2312"/>
        </w:rPr>
        <w:t>20mg的</w:t>
      </w:r>
      <w:r>
        <w:rPr>
          <w:rFonts w:hint="eastAsia" w:ascii="仿宋_GB2312" w:eastAsia="仿宋_GB2312"/>
        </w:rPr>
        <w:t>325片</w:t>
      </w:r>
      <w:r>
        <w:rPr>
          <w:rFonts w:ascii="仿宋_GB2312" w:eastAsia="仿宋_GB2312"/>
        </w:rPr>
        <w:t>。</w:t>
      </w:r>
      <w:r>
        <w:rPr>
          <w:rFonts w:hint="eastAsia" w:ascii="仿宋_GB2312" w:eastAsia="仿宋_GB2312"/>
        </w:rPr>
        <w:t>全省采购总金额为</w:t>
      </w:r>
      <w:r>
        <w:rPr>
          <w:rFonts w:ascii="仿宋_GB2312" w:eastAsia="仿宋_GB2312"/>
        </w:rPr>
        <w:t>9996.79</w:t>
      </w:r>
      <w:r>
        <w:rPr>
          <w:rFonts w:hint="eastAsia" w:ascii="仿宋_GB2312" w:eastAsia="仿宋_GB2312"/>
        </w:rPr>
        <w:t>万元，占同通用名药品采购金额的</w:t>
      </w:r>
      <w:r>
        <w:rPr>
          <w:rFonts w:ascii="仿宋_GB2312" w:eastAsia="仿宋_GB2312"/>
        </w:rPr>
        <w:t>50.89</w:t>
      </w:r>
      <w:r>
        <w:rPr>
          <w:rFonts w:hint="eastAsia" w:ascii="仿宋_GB2312" w:eastAsia="仿宋_GB2312"/>
        </w:rPr>
        <w:t>%。</w:t>
      </w:r>
    </w:p>
    <w:p>
      <w:pPr>
        <w:spacing w:line="579" w:lineRule="exact"/>
        <w:ind w:firstLine="643" w:firstLineChars="200"/>
        <w:rPr>
          <w:rFonts w:ascii="仿宋_GB2312" w:eastAsia="仿宋_GB2312"/>
        </w:rPr>
      </w:pPr>
      <w:r>
        <w:rPr>
          <w:rFonts w:ascii="楷体_GB2312" w:eastAsia="楷体_GB2312"/>
          <w:b/>
        </w:rPr>
        <w:t>（二）中选药完成进度和占比。</w:t>
      </w:r>
      <w:r>
        <w:rPr>
          <w:rFonts w:ascii="仿宋_GB2312" w:eastAsia="仿宋_GB2312"/>
        </w:rPr>
        <w:t>55个中选药品</w:t>
      </w:r>
      <w:r>
        <w:rPr>
          <w:rFonts w:hint="eastAsia" w:ascii="仿宋_GB2312" w:eastAsia="仿宋_GB2312"/>
        </w:rPr>
        <w:t>的全省采购总数量占约定采购总量的比例为</w:t>
      </w:r>
      <w:r>
        <w:rPr>
          <w:rFonts w:ascii="仿宋_GB2312" w:eastAsia="仿宋_GB2312"/>
        </w:rPr>
        <w:t>86.69</w:t>
      </w:r>
      <w:r>
        <w:rPr>
          <w:rFonts w:hint="eastAsia" w:ascii="仿宋_GB2312" w:eastAsia="仿宋_GB2312"/>
        </w:rPr>
        <w:t>%，占同通用名药品采购总数量的比例为</w:t>
      </w:r>
      <w:r>
        <w:rPr>
          <w:rFonts w:ascii="仿宋_GB2312" w:eastAsia="仿宋_GB2312"/>
        </w:rPr>
        <w:t>68.89</w:t>
      </w:r>
      <w:r>
        <w:rPr>
          <w:rFonts w:hint="eastAsia" w:ascii="仿宋_GB2312" w:eastAsia="仿宋_GB2312"/>
        </w:rPr>
        <w:t>%。</w:t>
      </w:r>
    </w:p>
    <w:p>
      <w:pPr>
        <w:spacing w:line="579" w:lineRule="exact"/>
        <w:ind w:firstLine="643" w:firstLineChars="200"/>
        <w:rPr>
          <w:rFonts w:ascii="仿宋_GB2312" w:eastAsia="仿宋_GB2312"/>
          <w:sz w:val="30"/>
          <w:szCs w:val="30"/>
        </w:rPr>
      </w:pPr>
      <w:r>
        <w:rPr>
          <w:rFonts w:ascii="楷体_GB2312" w:eastAsia="楷体_GB2312"/>
          <w:b/>
        </w:rPr>
        <w:t>（三）网上配送率。</w:t>
      </w:r>
      <w:r>
        <w:rPr>
          <w:rFonts w:hint="eastAsia" w:ascii="仿宋_GB2312" w:eastAsia="仿宋_GB2312"/>
        </w:rPr>
        <w:t>全省总体</w:t>
      </w:r>
      <w:r>
        <w:rPr>
          <w:rFonts w:ascii="仿宋_GB2312" w:eastAsia="仿宋_GB2312"/>
        </w:rPr>
        <w:t>网上</w:t>
      </w:r>
      <w:r>
        <w:rPr>
          <w:rFonts w:hint="eastAsia" w:ascii="仿宋_GB2312" w:eastAsia="仿宋_GB2312"/>
        </w:rPr>
        <w:t>配送率为</w:t>
      </w:r>
      <w:r>
        <w:rPr>
          <w:rFonts w:ascii="仿宋_GB2312" w:eastAsia="仿宋_GB2312"/>
        </w:rPr>
        <w:t>64.19</w:t>
      </w:r>
      <w:r>
        <w:rPr>
          <w:rFonts w:hint="eastAsia" w:ascii="仿宋_GB2312" w:eastAsia="仿宋_GB2312"/>
        </w:rPr>
        <w:t>%。</w:t>
      </w:r>
      <w:bookmarkStart w:id="0" w:name="_GoBack"/>
      <w:bookmarkEnd w:id="0"/>
    </w:p>
    <w:p>
      <w:pPr>
        <w:spacing w:line="579" w:lineRule="exact"/>
        <w:ind w:firstLine="640" w:firstLineChars="200"/>
        <w:outlineLvl w:val="0"/>
        <w:rPr>
          <w:rFonts w:ascii="黑体" w:eastAsia="黑体"/>
        </w:rPr>
      </w:pPr>
      <w:r>
        <w:rPr>
          <w:rFonts w:hint="eastAsia" w:ascii="黑体" w:eastAsia="黑体"/>
        </w:rPr>
        <w:t>四</w:t>
      </w:r>
      <w:r>
        <w:rPr>
          <w:rFonts w:ascii="黑体" w:eastAsia="黑体"/>
        </w:rPr>
        <w:t>、</w:t>
      </w:r>
      <w:r>
        <w:rPr>
          <w:rFonts w:hint="eastAsia" w:ascii="黑体" w:eastAsia="黑体"/>
        </w:rPr>
        <w:t>第一批江西</w:t>
      </w:r>
      <w:r>
        <w:rPr>
          <w:rFonts w:ascii="黑体" w:eastAsia="黑体"/>
        </w:rPr>
        <w:t>中选</w:t>
      </w:r>
      <w:r>
        <w:rPr>
          <w:rFonts w:hint="eastAsia" w:ascii="黑体" w:eastAsia="黑体"/>
        </w:rPr>
        <w:t>药品</w:t>
      </w:r>
      <w:r>
        <w:rPr>
          <w:rFonts w:ascii="黑体" w:eastAsia="黑体"/>
        </w:rPr>
        <w:t>采购</w:t>
      </w:r>
      <w:r>
        <w:rPr>
          <w:rFonts w:hint="eastAsia" w:ascii="黑体" w:eastAsia="黑体"/>
        </w:rPr>
        <w:t>情况</w:t>
      </w:r>
    </w:p>
    <w:p>
      <w:pPr>
        <w:spacing w:line="579" w:lineRule="exact"/>
        <w:ind w:firstLine="640" w:firstLineChars="200"/>
        <w:rPr>
          <w:rFonts w:ascii="仿宋_GB2312" w:eastAsia="仿宋_GB2312"/>
        </w:rPr>
      </w:pPr>
      <w:r>
        <w:rPr>
          <w:rFonts w:hint="eastAsia" w:ascii="仿宋_GB2312" w:eastAsia="仿宋_GB2312"/>
        </w:rPr>
        <w:t>第一批江西药品带量采购中选药品共6种药品7个品规10家企业，自2020年12月25日起在全省执行，截至2021年</w:t>
      </w:r>
      <w:r>
        <w:rPr>
          <w:rFonts w:ascii="仿宋_GB2312" w:eastAsia="仿宋_GB2312"/>
        </w:rPr>
        <w:t>4</w:t>
      </w:r>
      <w:r>
        <w:rPr>
          <w:rFonts w:hint="eastAsia" w:ascii="仿宋_GB2312" w:eastAsia="仿宋_GB2312"/>
        </w:rPr>
        <w:t>月3</w:t>
      </w:r>
      <w:r>
        <w:rPr>
          <w:rFonts w:ascii="仿宋_GB2312" w:eastAsia="仿宋_GB2312"/>
        </w:rPr>
        <w:t>0</w:t>
      </w:r>
      <w:r>
        <w:rPr>
          <w:rFonts w:hint="eastAsia" w:ascii="仿宋_GB2312" w:eastAsia="仿宋_GB2312"/>
        </w:rPr>
        <w:t>日，全省网上采购情况如下：</w:t>
      </w:r>
    </w:p>
    <w:p>
      <w:pPr>
        <w:spacing w:line="579" w:lineRule="exact"/>
        <w:ind w:firstLine="643" w:firstLineChars="200"/>
        <w:rPr>
          <w:rFonts w:ascii="仿宋_GB2312" w:eastAsia="仿宋_GB2312"/>
        </w:rPr>
      </w:pPr>
      <w:r>
        <w:rPr>
          <w:rFonts w:ascii="楷体_GB2312" w:eastAsia="楷体_GB2312"/>
          <w:b/>
        </w:rPr>
        <w:t>（一）采购数量和金额。</w:t>
      </w:r>
      <w:r>
        <w:rPr>
          <w:rFonts w:hint="eastAsia" w:ascii="仿宋_GB2312" w:eastAsia="仿宋_GB2312"/>
        </w:rPr>
        <w:t>中选药品在全省12个联盟地区采购总数量为</w:t>
      </w:r>
      <w:r>
        <w:rPr>
          <w:rFonts w:ascii="仿宋_GB2312" w:eastAsia="仿宋_GB2312"/>
        </w:rPr>
        <w:t>1640</w:t>
      </w:r>
      <w:r>
        <w:rPr>
          <w:rFonts w:hint="eastAsia" w:ascii="仿宋_GB2312" w:eastAsia="仿宋_GB2312"/>
        </w:rPr>
        <w:t>.</w:t>
      </w:r>
      <w:r>
        <w:rPr>
          <w:rFonts w:ascii="仿宋_GB2312" w:eastAsia="仿宋_GB2312"/>
        </w:rPr>
        <w:t>06</w:t>
      </w:r>
      <w:r>
        <w:rPr>
          <w:rFonts w:hint="eastAsia" w:ascii="仿宋_GB2312" w:eastAsia="仿宋_GB2312"/>
        </w:rPr>
        <w:t>万片/支/袋。按药品统计，最高为华润双鹤利民药业（济南）有限公司的兰索拉唑肠溶片15mg的</w:t>
      </w:r>
      <w:r>
        <w:rPr>
          <w:rFonts w:ascii="仿宋_GB2312" w:eastAsia="仿宋_GB2312"/>
        </w:rPr>
        <w:t>644.56</w:t>
      </w:r>
      <w:r>
        <w:rPr>
          <w:rFonts w:hint="eastAsia" w:ascii="仿宋_GB2312" w:eastAsia="仿宋_GB2312"/>
        </w:rPr>
        <w:t>万片，最低为齐鲁制药（海南）有限公司的注射用盐酸吉西他滨1g的</w:t>
      </w:r>
      <w:r>
        <w:rPr>
          <w:rFonts w:ascii="仿宋_GB2312" w:eastAsia="仿宋_GB2312"/>
        </w:rPr>
        <w:t>4776</w:t>
      </w:r>
      <w:r>
        <w:rPr>
          <w:rFonts w:hint="eastAsia" w:ascii="仿宋_GB2312" w:eastAsia="仿宋_GB2312"/>
        </w:rPr>
        <w:t>支。</w:t>
      </w:r>
      <w:r>
        <w:rPr>
          <w:rFonts w:ascii="仿宋_GB2312" w:eastAsia="仿宋_GB2312"/>
        </w:rPr>
        <w:t>全省采购总金额为7401.34</w:t>
      </w:r>
      <w:r>
        <w:rPr>
          <w:rFonts w:hint="eastAsia" w:ascii="仿宋_GB2312" w:eastAsia="仿宋_GB2312"/>
        </w:rPr>
        <w:t xml:space="preserve"> 万</w:t>
      </w:r>
      <w:r>
        <w:rPr>
          <w:rFonts w:ascii="仿宋_GB2312" w:eastAsia="仿宋_GB2312"/>
        </w:rPr>
        <w:t>元，占</w:t>
      </w:r>
      <w:r>
        <w:rPr>
          <w:rFonts w:hint="eastAsia" w:ascii="仿宋_GB2312" w:eastAsia="仿宋_GB2312"/>
        </w:rPr>
        <w:t>同通用名药品</w:t>
      </w:r>
      <w:r>
        <w:rPr>
          <w:rFonts w:ascii="仿宋_GB2312" w:eastAsia="仿宋_GB2312"/>
        </w:rPr>
        <w:t>采购金额的</w:t>
      </w:r>
      <w:r>
        <w:rPr>
          <w:rFonts w:hint="eastAsia" w:ascii="仿宋_GB2312" w:eastAsia="仿宋_GB2312"/>
        </w:rPr>
        <w:t>8</w:t>
      </w:r>
      <w:r>
        <w:rPr>
          <w:rFonts w:ascii="仿宋_GB2312" w:eastAsia="仿宋_GB2312"/>
        </w:rPr>
        <w:t>4.09%。</w:t>
      </w:r>
    </w:p>
    <w:p>
      <w:pPr>
        <w:spacing w:line="579" w:lineRule="exact"/>
        <w:ind w:firstLine="643" w:firstLineChars="200"/>
        <w:rPr>
          <w:rFonts w:ascii="仿宋_GB2312" w:eastAsia="仿宋_GB2312"/>
        </w:rPr>
      </w:pPr>
      <w:r>
        <w:rPr>
          <w:rFonts w:ascii="楷体_GB2312" w:eastAsia="楷体_GB2312"/>
          <w:b/>
        </w:rPr>
        <w:t>（三）中选药完成进度和占比。</w:t>
      </w:r>
      <w:r>
        <w:rPr>
          <w:rFonts w:hint="eastAsia" w:ascii="仿宋_GB2312" w:eastAsia="仿宋_GB2312"/>
        </w:rPr>
        <w:t>7个品规的全省采购总数量占约定采购总量的比例平均</w:t>
      </w:r>
      <w:r>
        <w:rPr>
          <w:rFonts w:ascii="仿宋_GB2312" w:eastAsia="仿宋_GB2312"/>
        </w:rPr>
        <w:t>78.67</w:t>
      </w:r>
      <w:r>
        <w:rPr>
          <w:rFonts w:hint="eastAsia" w:ascii="仿宋_GB2312" w:eastAsia="仿宋_GB2312"/>
        </w:rPr>
        <w:t>%，占同通用名药品采购总数量的比例为</w:t>
      </w:r>
      <w:r>
        <w:rPr>
          <w:rFonts w:ascii="仿宋_GB2312" w:eastAsia="仿宋_GB2312"/>
        </w:rPr>
        <w:t>89.22</w:t>
      </w:r>
      <w:r>
        <w:rPr>
          <w:rFonts w:hint="eastAsia" w:ascii="仿宋_GB2312" w:eastAsia="仿宋_GB2312"/>
        </w:rPr>
        <w:t>%。</w:t>
      </w:r>
    </w:p>
    <w:p>
      <w:pPr>
        <w:spacing w:line="579" w:lineRule="exact"/>
        <w:ind w:firstLine="643" w:firstLineChars="200"/>
        <w:rPr>
          <w:rFonts w:ascii="仿宋_GB2312" w:eastAsia="仿宋_GB2312"/>
        </w:rPr>
      </w:pPr>
      <w:r>
        <w:rPr>
          <w:rFonts w:ascii="楷体_GB2312" w:eastAsia="楷体_GB2312"/>
          <w:b/>
        </w:rPr>
        <w:t>（三）网上配送率。</w:t>
      </w:r>
      <w:r>
        <w:rPr>
          <w:rFonts w:ascii="仿宋_GB2312" w:eastAsia="仿宋_GB2312"/>
        </w:rPr>
        <w:t>全省</w:t>
      </w:r>
      <w:r>
        <w:rPr>
          <w:rFonts w:hint="eastAsia" w:ascii="仿宋_GB2312" w:eastAsia="仿宋_GB2312"/>
        </w:rPr>
        <w:t>总体</w:t>
      </w:r>
      <w:r>
        <w:rPr>
          <w:rFonts w:ascii="仿宋_GB2312" w:eastAsia="仿宋_GB2312"/>
        </w:rPr>
        <w:t>网上</w:t>
      </w:r>
      <w:r>
        <w:rPr>
          <w:rFonts w:hint="eastAsia" w:ascii="仿宋_GB2312" w:eastAsia="仿宋_GB2312"/>
        </w:rPr>
        <w:t>配送率为</w:t>
      </w:r>
      <w:r>
        <w:rPr>
          <w:rFonts w:ascii="仿宋_GB2312" w:eastAsia="仿宋_GB2312"/>
        </w:rPr>
        <w:t>83.66</w:t>
      </w:r>
      <w:r>
        <w:rPr>
          <w:rFonts w:hint="eastAsia" w:ascii="仿宋_GB2312" w:eastAsia="仿宋_GB2312"/>
        </w:rPr>
        <w:t>%。</w:t>
      </w:r>
    </w:p>
    <w:p>
      <w:pPr>
        <w:spacing w:line="579" w:lineRule="exact"/>
        <w:ind w:firstLine="640" w:firstLineChars="200"/>
        <w:outlineLvl w:val="0"/>
        <w:rPr>
          <w:rFonts w:ascii="黑体" w:eastAsia="黑体"/>
        </w:rPr>
      </w:pPr>
      <w:r>
        <w:rPr>
          <w:rFonts w:hint="eastAsia" w:ascii="黑体" w:eastAsia="黑体"/>
        </w:rPr>
        <w:t>五、中选品种回款情况</w:t>
      </w:r>
    </w:p>
    <w:p>
      <w:pPr>
        <w:spacing w:line="579" w:lineRule="exact"/>
        <w:ind w:firstLine="640" w:firstLineChars="200"/>
        <w:rPr>
          <w:rFonts w:ascii="仿宋_GB2312" w:eastAsia="仿宋_GB2312"/>
        </w:rPr>
      </w:pPr>
      <w:r>
        <w:rPr>
          <w:rFonts w:ascii="仿宋_GB2312" w:eastAsia="仿宋_GB2312"/>
        </w:rPr>
        <w:t>截至</w:t>
      </w:r>
      <w:r>
        <w:rPr>
          <w:rFonts w:hint="eastAsia" w:ascii="仿宋_GB2312" w:eastAsia="仿宋_GB2312"/>
        </w:rPr>
        <w:t>2021年4</w:t>
      </w:r>
      <w:r>
        <w:rPr>
          <w:rFonts w:ascii="仿宋_GB2312" w:eastAsia="仿宋_GB2312"/>
        </w:rPr>
        <w:t>月底,四批次带量采购中选药品在全省12个采购联盟的账单总金额为10.37</w:t>
      </w:r>
      <w:r>
        <w:rPr>
          <w:rFonts w:hint="eastAsia" w:ascii="仿宋_GB2312" w:eastAsia="仿宋_GB2312"/>
        </w:rPr>
        <w:t>亿</w:t>
      </w:r>
      <w:r>
        <w:rPr>
          <w:rFonts w:ascii="仿宋_GB2312" w:eastAsia="仿宋_GB2312"/>
        </w:rPr>
        <w:t>元，回款（含预付）总金额为10.98</w:t>
      </w:r>
      <w:r>
        <w:rPr>
          <w:rFonts w:hint="eastAsia" w:ascii="仿宋_GB2312" w:eastAsia="仿宋_GB2312"/>
        </w:rPr>
        <w:t>亿</w:t>
      </w:r>
      <w:r>
        <w:rPr>
          <w:rFonts w:ascii="仿宋_GB2312" w:eastAsia="仿宋_GB2312"/>
        </w:rPr>
        <w:t>元，回款比例为105.88</w:t>
      </w:r>
      <w:r>
        <w:rPr>
          <w:rFonts w:hint="eastAsia" w:ascii="仿宋_GB2312" w:eastAsia="仿宋_GB2312"/>
        </w:rPr>
        <w:t>%</w:t>
      </w:r>
      <w:r>
        <w:rPr>
          <w:rFonts w:ascii="仿宋_GB2312" w:eastAsia="仿宋_GB2312"/>
        </w:rPr>
        <w:t>。</w:t>
      </w:r>
    </w:p>
    <w:p>
      <w:pPr>
        <w:spacing w:line="579" w:lineRule="exact"/>
        <w:ind w:firstLine="640" w:firstLineChars="200"/>
        <w:rPr>
          <w:rFonts w:ascii="仿宋_GB2312" w:eastAsia="仿宋_GB2312"/>
        </w:rPr>
      </w:pPr>
    </w:p>
    <w:p>
      <w:pPr>
        <w:ind w:firstLine="640" w:firstLineChars="200"/>
        <w:rPr>
          <w:rFonts w:ascii="仿宋_GB2312" w:eastAsia="仿宋_GB2312"/>
        </w:rPr>
      </w:pPr>
    </w:p>
    <w:p>
      <w:pPr>
        <w:ind w:firstLine="640" w:firstLineChars="200"/>
        <w:rPr>
          <w:rFonts w:ascii="仿宋_GB2312" w:eastAsia="仿宋_GB2312"/>
        </w:rPr>
        <w:sectPr>
          <w:pgSz w:w="11906" w:h="16838"/>
          <w:pgMar w:top="1440" w:right="1797" w:bottom="1440" w:left="1797" w:header="851" w:footer="992" w:gutter="0"/>
          <w:pgNumType w:fmt="numberInDash"/>
          <w:cols w:space="425" w:num="1"/>
          <w:docGrid w:type="lines" w:linePitch="312" w:charSpace="0"/>
        </w:sectPr>
      </w:pPr>
    </w:p>
    <w:p>
      <w:pPr>
        <w:pStyle w:val="6"/>
        <w:spacing w:line="579" w:lineRule="exact"/>
        <w:ind w:firstLine="0" w:firstLineChars="0"/>
        <w:jc w:val="center"/>
        <w:outlineLvl w:val="0"/>
        <w:rPr>
          <w:rFonts w:ascii="黑体" w:eastAsia="黑体"/>
        </w:rPr>
      </w:pPr>
      <w:r>
        <w:rPr>
          <w:rFonts w:ascii="黑体" w:eastAsia="黑体"/>
          <w:sz w:val="32"/>
        </w:rPr>
        <w:t>附表1:国家</w:t>
      </w:r>
      <w:r>
        <w:rPr>
          <w:rFonts w:hint="eastAsia" w:ascii="黑体" w:eastAsia="黑体"/>
          <w:sz w:val="32"/>
        </w:rPr>
        <w:t>4+7扩围</w:t>
      </w:r>
      <w:r>
        <w:rPr>
          <w:rFonts w:ascii="黑体" w:eastAsia="黑体"/>
          <w:sz w:val="32"/>
        </w:rPr>
        <w:t>江西中选药品第二年度采购情况（截至</w:t>
      </w:r>
      <w:r>
        <w:rPr>
          <w:rFonts w:hint="eastAsia" w:ascii="黑体" w:eastAsia="黑体"/>
          <w:sz w:val="32"/>
        </w:rPr>
        <w:t>2021年</w:t>
      </w:r>
      <w:r>
        <w:rPr>
          <w:rFonts w:ascii="黑体" w:eastAsia="黑体"/>
          <w:sz w:val="32"/>
        </w:rPr>
        <w:t>4月30日）</w:t>
      </w:r>
    </w:p>
    <w:tbl>
      <w:tblPr>
        <w:tblStyle w:val="4"/>
        <w:tblW w:w="0" w:type="auto"/>
        <w:jc w:val="center"/>
        <w:tblLayout w:type="autofit"/>
        <w:tblCellMar>
          <w:top w:w="0" w:type="dxa"/>
          <w:left w:w="108" w:type="dxa"/>
          <w:bottom w:w="0" w:type="dxa"/>
          <w:right w:w="108" w:type="dxa"/>
        </w:tblCellMar>
      </w:tblPr>
      <w:tblGrid>
        <w:gridCol w:w="5102"/>
        <w:gridCol w:w="2410"/>
        <w:gridCol w:w="1843"/>
        <w:gridCol w:w="1559"/>
        <w:gridCol w:w="1701"/>
        <w:gridCol w:w="1559"/>
      </w:tblGrid>
      <w:tr>
        <w:trPr>
          <w:trHeight w:val="685" w:hRule="atLeast"/>
          <w:tblHeader/>
          <w:jc w:val="center"/>
        </w:trPr>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textAlignment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药品</w:t>
            </w:r>
          </w:p>
        </w:tc>
        <w:tc>
          <w:tcPr>
            <w:tcW w:w="2410"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textAlignment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采购数量（片/支/袋）</w:t>
            </w:r>
          </w:p>
        </w:tc>
        <w:tc>
          <w:tcPr>
            <w:tcW w:w="1843"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textAlignment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采购金额（元）</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textAlignment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完成进度</w:t>
            </w:r>
          </w:p>
        </w:tc>
        <w:tc>
          <w:tcPr>
            <w:tcW w:w="1701"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textAlignment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中选药占比</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textAlignment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网上配送率</w:t>
            </w:r>
          </w:p>
        </w:tc>
      </w:tr>
      <w:tr>
        <w:tblPrEx>
          <w:tblCellMar>
            <w:top w:w="0" w:type="dxa"/>
            <w:left w:w="108" w:type="dxa"/>
            <w:bottom w:w="0" w:type="dxa"/>
            <w:right w:w="108" w:type="dxa"/>
          </w:tblCellMar>
        </w:tblPrEx>
        <w:trPr>
          <w:trHeight w:val="397" w:hRule="atLeast"/>
          <w:jc w:val="center"/>
        </w:trPr>
        <w:tc>
          <w:tcPr>
            <w:tcW w:w="5245"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阿托伐他汀口服常释剂型10mg</w:t>
            </w:r>
          </w:p>
        </w:tc>
        <w:tc>
          <w:tcPr>
            <w:tcW w:w="2410"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13641292</w:t>
            </w:r>
          </w:p>
        </w:tc>
        <w:tc>
          <w:tcPr>
            <w:tcW w:w="1843"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1636955.04</w:t>
            </w:r>
          </w:p>
        </w:tc>
        <w:tc>
          <w:tcPr>
            <w:tcW w:w="1559" w:type="dxa"/>
            <w:vMerge w:val="restart"/>
            <w:tcBorders>
              <w:top w:val="nil"/>
              <w:left w:val="single" w:color="auto" w:sz="4" w:space="0"/>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96.6%</w:t>
            </w:r>
          </w:p>
        </w:tc>
        <w:tc>
          <w:tcPr>
            <w:tcW w:w="1701" w:type="dxa"/>
            <w:vMerge w:val="restart"/>
            <w:tcBorders>
              <w:top w:val="nil"/>
              <w:left w:val="single" w:color="auto" w:sz="4" w:space="0"/>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83.16%</w:t>
            </w:r>
          </w:p>
        </w:tc>
        <w:tc>
          <w:tcPr>
            <w:tcW w:w="1559"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98.71%</w:t>
            </w:r>
          </w:p>
        </w:tc>
      </w:tr>
      <w:tr>
        <w:tblPrEx>
          <w:tblCellMar>
            <w:top w:w="0" w:type="dxa"/>
            <w:left w:w="108" w:type="dxa"/>
            <w:bottom w:w="0" w:type="dxa"/>
            <w:right w:w="108" w:type="dxa"/>
          </w:tblCellMar>
        </w:tblPrEx>
        <w:trPr>
          <w:trHeight w:val="397" w:hRule="atLeast"/>
          <w:jc w:val="center"/>
        </w:trPr>
        <w:tc>
          <w:tcPr>
            <w:tcW w:w="5245"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阿托伐他汀口服常释剂型20mg</w:t>
            </w:r>
          </w:p>
        </w:tc>
        <w:tc>
          <w:tcPr>
            <w:tcW w:w="2410"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27074866</w:t>
            </w:r>
          </w:p>
        </w:tc>
        <w:tc>
          <w:tcPr>
            <w:tcW w:w="1843"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5531008.34</w:t>
            </w:r>
          </w:p>
        </w:tc>
        <w:tc>
          <w:tcPr>
            <w:tcW w:w="1559" w:type="dxa"/>
            <w:vMerge w:val="continue"/>
            <w:tcBorders>
              <w:top w:val="nil"/>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olor w:val="000000"/>
                <w:sz w:val="24"/>
                <w:szCs w:val="24"/>
              </w:rPr>
            </w:pPr>
          </w:p>
        </w:tc>
        <w:tc>
          <w:tcPr>
            <w:tcW w:w="1701" w:type="dxa"/>
            <w:vMerge w:val="continue"/>
            <w:tcBorders>
              <w:top w:val="nil"/>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olor w:val="000000"/>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87.55%</w:t>
            </w:r>
          </w:p>
        </w:tc>
      </w:tr>
      <w:tr>
        <w:tblPrEx>
          <w:tblCellMar>
            <w:top w:w="0" w:type="dxa"/>
            <w:left w:w="108" w:type="dxa"/>
            <w:bottom w:w="0" w:type="dxa"/>
            <w:right w:w="108" w:type="dxa"/>
          </w:tblCellMar>
        </w:tblPrEx>
        <w:trPr>
          <w:trHeight w:val="397" w:hRule="atLeast"/>
          <w:jc w:val="center"/>
        </w:trPr>
        <w:tc>
          <w:tcPr>
            <w:tcW w:w="5245"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瑞舒伐他汀口服常释剂型10mg</w:t>
            </w:r>
          </w:p>
        </w:tc>
        <w:tc>
          <w:tcPr>
            <w:tcW w:w="2410"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14717940</w:t>
            </w:r>
          </w:p>
        </w:tc>
        <w:tc>
          <w:tcPr>
            <w:tcW w:w="1843"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3355690.32</w:t>
            </w:r>
          </w:p>
        </w:tc>
        <w:tc>
          <w:tcPr>
            <w:tcW w:w="1559" w:type="dxa"/>
            <w:vMerge w:val="restart"/>
            <w:tcBorders>
              <w:top w:val="nil"/>
              <w:left w:val="single" w:color="auto" w:sz="4" w:space="0"/>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80.2%</w:t>
            </w:r>
          </w:p>
        </w:tc>
        <w:tc>
          <w:tcPr>
            <w:tcW w:w="1701" w:type="dxa"/>
            <w:vMerge w:val="restart"/>
            <w:tcBorders>
              <w:top w:val="nil"/>
              <w:left w:val="single" w:color="auto" w:sz="4" w:space="0"/>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95.65%</w:t>
            </w:r>
          </w:p>
        </w:tc>
        <w:tc>
          <w:tcPr>
            <w:tcW w:w="1559"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99.63%</w:t>
            </w:r>
          </w:p>
        </w:tc>
      </w:tr>
      <w:tr>
        <w:tblPrEx>
          <w:tblCellMar>
            <w:top w:w="0" w:type="dxa"/>
            <w:left w:w="108" w:type="dxa"/>
            <w:bottom w:w="0" w:type="dxa"/>
            <w:right w:w="108" w:type="dxa"/>
          </w:tblCellMar>
        </w:tblPrEx>
        <w:trPr>
          <w:trHeight w:val="397" w:hRule="atLeast"/>
          <w:jc w:val="center"/>
        </w:trPr>
        <w:tc>
          <w:tcPr>
            <w:tcW w:w="5245"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瑞舒伐他汀口服常释剂型5mg</w:t>
            </w:r>
          </w:p>
        </w:tc>
        <w:tc>
          <w:tcPr>
            <w:tcW w:w="2410"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4292940</w:t>
            </w:r>
          </w:p>
        </w:tc>
        <w:tc>
          <w:tcPr>
            <w:tcW w:w="1843"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561659.65</w:t>
            </w:r>
          </w:p>
        </w:tc>
        <w:tc>
          <w:tcPr>
            <w:tcW w:w="1559" w:type="dxa"/>
            <w:vMerge w:val="continue"/>
            <w:tcBorders>
              <w:top w:val="nil"/>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olor w:val="000000"/>
                <w:sz w:val="24"/>
                <w:szCs w:val="24"/>
              </w:rPr>
            </w:pPr>
          </w:p>
        </w:tc>
        <w:tc>
          <w:tcPr>
            <w:tcW w:w="1701" w:type="dxa"/>
            <w:vMerge w:val="continue"/>
            <w:tcBorders>
              <w:top w:val="nil"/>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olor w:val="000000"/>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89.91%</w:t>
            </w:r>
          </w:p>
        </w:tc>
      </w:tr>
      <w:tr>
        <w:tblPrEx>
          <w:tblCellMar>
            <w:top w:w="0" w:type="dxa"/>
            <w:left w:w="108" w:type="dxa"/>
            <w:bottom w:w="0" w:type="dxa"/>
            <w:right w:w="108" w:type="dxa"/>
          </w:tblCellMar>
        </w:tblPrEx>
        <w:trPr>
          <w:trHeight w:val="397" w:hRule="atLeast"/>
          <w:jc w:val="center"/>
        </w:trPr>
        <w:tc>
          <w:tcPr>
            <w:tcW w:w="5245"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氯吡格雷口服常释剂型75mg</w:t>
            </w:r>
          </w:p>
        </w:tc>
        <w:tc>
          <w:tcPr>
            <w:tcW w:w="2410"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20244441</w:t>
            </w:r>
          </w:p>
        </w:tc>
        <w:tc>
          <w:tcPr>
            <w:tcW w:w="1843"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51507642.03</w:t>
            </w:r>
          </w:p>
        </w:tc>
        <w:tc>
          <w:tcPr>
            <w:tcW w:w="1559"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88.20%</w:t>
            </w:r>
          </w:p>
        </w:tc>
        <w:tc>
          <w:tcPr>
            <w:tcW w:w="1701"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98.97%</w:t>
            </w:r>
          </w:p>
        </w:tc>
        <w:tc>
          <w:tcPr>
            <w:tcW w:w="1559"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90.10%</w:t>
            </w:r>
          </w:p>
        </w:tc>
      </w:tr>
      <w:tr>
        <w:tblPrEx>
          <w:tblCellMar>
            <w:top w:w="0" w:type="dxa"/>
            <w:left w:w="108" w:type="dxa"/>
            <w:bottom w:w="0" w:type="dxa"/>
            <w:right w:w="108" w:type="dxa"/>
          </w:tblCellMar>
        </w:tblPrEx>
        <w:trPr>
          <w:trHeight w:val="397" w:hRule="atLeast"/>
          <w:jc w:val="center"/>
        </w:trPr>
        <w:tc>
          <w:tcPr>
            <w:tcW w:w="5245"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厄贝沙坦口服常释剂型75mg</w:t>
            </w:r>
          </w:p>
        </w:tc>
        <w:tc>
          <w:tcPr>
            <w:tcW w:w="2410"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37529438</w:t>
            </w:r>
          </w:p>
        </w:tc>
        <w:tc>
          <w:tcPr>
            <w:tcW w:w="1843"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7279730.69</w:t>
            </w:r>
          </w:p>
        </w:tc>
        <w:tc>
          <w:tcPr>
            <w:tcW w:w="1559"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83.26%</w:t>
            </w:r>
          </w:p>
        </w:tc>
        <w:tc>
          <w:tcPr>
            <w:tcW w:w="1701"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97.41%</w:t>
            </w:r>
          </w:p>
        </w:tc>
        <w:tc>
          <w:tcPr>
            <w:tcW w:w="1559"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93.69%</w:t>
            </w:r>
          </w:p>
        </w:tc>
      </w:tr>
      <w:tr>
        <w:tblPrEx>
          <w:tblCellMar>
            <w:top w:w="0" w:type="dxa"/>
            <w:left w:w="108" w:type="dxa"/>
            <w:bottom w:w="0" w:type="dxa"/>
            <w:right w:w="108" w:type="dxa"/>
          </w:tblCellMar>
        </w:tblPrEx>
        <w:trPr>
          <w:trHeight w:val="397" w:hRule="atLeast"/>
          <w:jc w:val="center"/>
        </w:trPr>
        <w:tc>
          <w:tcPr>
            <w:tcW w:w="5245"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氨氯地平口服常释剂型5mg</w:t>
            </w:r>
          </w:p>
        </w:tc>
        <w:tc>
          <w:tcPr>
            <w:tcW w:w="2410"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33554164</w:t>
            </w:r>
          </w:p>
        </w:tc>
        <w:tc>
          <w:tcPr>
            <w:tcW w:w="1843"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2013249.84</w:t>
            </w:r>
          </w:p>
        </w:tc>
        <w:tc>
          <w:tcPr>
            <w:tcW w:w="1559"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66.70%</w:t>
            </w:r>
          </w:p>
        </w:tc>
        <w:tc>
          <w:tcPr>
            <w:tcW w:w="1701"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79.99%</w:t>
            </w:r>
          </w:p>
        </w:tc>
        <w:tc>
          <w:tcPr>
            <w:tcW w:w="1559"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56.19%</w:t>
            </w:r>
          </w:p>
        </w:tc>
      </w:tr>
      <w:tr>
        <w:tblPrEx>
          <w:tblCellMar>
            <w:top w:w="0" w:type="dxa"/>
            <w:left w:w="108" w:type="dxa"/>
            <w:bottom w:w="0" w:type="dxa"/>
            <w:right w:w="108" w:type="dxa"/>
          </w:tblCellMar>
        </w:tblPrEx>
        <w:trPr>
          <w:trHeight w:val="397" w:hRule="atLeast"/>
          <w:jc w:val="center"/>
        </w:trPr>
        <w:tc>
          <w:tcPr>
            <w:tcW w:w="5245"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恩替卡韦口服常释剂型0.5mg</w:t>
            </w:r>
          </w:p>
        </w:tc>
        <w:tc>
          <w:tcPr>
            <w:tcW w:w="2410"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18456200</w:t>
            </w:r>
          </w:p>
        </w:tc>
        <w:tc>
          <w:tcPr>
            <w:tcW w:w="1843"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5068863.50</w:t>
            </w:r>
          </w:p>
        </w:tc>
        <w:tc>
          <w:tcPr>
            <w:tcW w:w="1559"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80.66%</w:t>
            </w:r>
          </w:p>
        </w:tc>
        <w:tc>
          <w:tcPr>
            <w:tcW w:w="1701"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91.81%</w:t>
            </w:r>
          </w:p>
        </w:tc>
        <w:tc>
          <w:tcPr>
            <w:tcW w:w="1559"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95.04%</w:t>
            </w:r>
          </w:p>
        </w:tc>
      </w:tr>
      <w:tr>
        <w:tblPrEx>
          <w:tblCellMar>
            <w:top w:w="0" w:type="dxa"/>
            <w:left w:w="108" w:type="dxa"/>
            <w:bottom w:w="0" w:type="dxa"/>
            <w:right w:w="108" w:type="dxa"/>
          </w:tblCellMar>
        </w:tblPrEx>
        <w:trPr>
          <w:trHeight w:val="397" w:hRule="atLeast"/>
          <w:jc w:val="center"/>
        </w:trPr>
        <w:tc>
          <w:tcPr>
            <w:tcW w:w="5245"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艾司西酞普兰口服常释剂型10mg</w:t>
            </w:r>
          </w:p>
        </w:tc>
        <w:tc>
          <w:tcPr>
            <w:tcW w:w="2410"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1751921</w:t>
            </w:r>
          </w:p>
        </w:tc>
        <w:tc>
          <w:tcPr>
            <w:tcW w:w="1843"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7367846.75</w:t>
            </w:r>
          </w:p>
        </w:tc>
        <w:tc>
          <w:tcPr>
            <w:tcW w:w="1559"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102.77%</w:t>
            </w:r>
          </w:p>
        </w:tc>
        <w:tc>
          <w:tcPr>
            <w:tcW w:w="1701"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88.84%</w:t>
            </w:r>
          </w:p>
        </w:tc>
        <w:tc>
          <w:tcPr>
            <w:tcW w:w="1559"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96.93%</w:t>
            </w:r>
          </w:p>
        </w:tc>
      </w:tr>
      <w:tr>
        <w:tblPrEx>
          <w:tblCellMar>
            <w:top w:w="0" w:type="dxa"/>
            <w:left w:w="108" w:type="dxa"/>
            <w:bottom w:w="0" w:type="dxa"/>
            <w:right w:w="108" w:type="dxa"/>
          </w:tblCellMar>
        </w:tblPrEx>
        <w:trPr>
          <w:trHeight w:val="397" w:hRule="atLeast"/>
          <w:jc w:val="center"/>
        </w:trPr>
        <w:tc>
          <w:tcPr>
            <w:tcW w:w="5245"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帕罗西汀口服常释剂型20mg</w:t>
            </w:r>
          </w:p>
        </w:tc>
        <w:tc>
          <w:tcPr>
            <w:tcW w:w="2410"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1162818</w:t>
            </w:r>
          </w:p>
        </w:tc>
        <w:tc>
          <w:tcPr>
            <w:tcW w:w="1843"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1811719.11</w:t>
            </w:r>
          </w:p>
        </w:tc>
        <w:tc>
          <w:tcPr>
            <w:tcW w:w="1559"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80.95%</w:t>
            </w:r>
          </w:p>
        </w:tc>
        <w:tc>
          <w:tcPr>
            <w:tcW w:w="1701"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98.85%</w:t>
            </w:r>
          </w:p>
        </w:tc>
        <w:tc>
          <w:tcPr>
            <w:tcW w:w="1559"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98.08%</w:t>
            </w:r>
          </w:p>
        </w:tc>
      </w:tr>
      <w:tr>
        <w:tblPrEx>
          <w:tblCellMar>
            <w:top w:w="0" w:type="dxa"/>
            <w:left w:w="108" w:type="dxa"/>
            <w:bottom w:w="0" w:type="dxa"/>
            <w:right w:w="108" w:type="dxa"/>
          </w:tblCellMar>
        </w:tblPrEx>
        <w:trPr>
          <w:trHeight w:val="397" w:hRule="atLeast"/>
          <w:jc w:val="center"/>
        </w:trPr>
        <w:tc>
          <w:tcPr>
            <w:tcW w:w="5245"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奥氮平口服常释剂型10mg</w:t>
            </w:r>
          </w:p>
        </w:tc>
        <w:tc>
          <w:tcPr>
            <w:tcW w:w="2410"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1866431</w:t>
            </w:r>
          </w:p>
        </w:tc>
        <w:tc>
          <w:tcPr>
            <w:tcW w:w="1843"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11625198.80</w:t>
            </w:r>
          </w:p>
        </w:tc>
        <w:tc>
          <w:tcPr>
            <w:tcW w:w="1559" w:type="dxa"/>
            <w:vMerge w:val="restart"/>
            <w:tcBorders>
              <w:top w:val="nil"/>
              <w:left w:val="single" w:color="auto" w:sz="4" w:space="0"/>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75.3%</w:t>
            </w:r>
          </w:p>
        </w:tc>
        <w:tc>
          <w:tcPr>
            <w:tcW w:w="1701" w:type="dxa"/>
            <w:vMerge w:val="restart"/>
            <w:tcBorders>
              <w:top w:val="nil"/>
              <w:left w:val="single" w:color="auto" w:sz="4" w:space="0"/>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92.99%</w:t>
            </w:r>
          </w:p>
        </w:tc>
        <w:tc>
          <w:tcPr>
            <w:tcW w:w="1559"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99.28%</w:t>
            </w:r>
          </w:p>
        </w:tc>
      </w:tr>
      <w:tr>
        <w:tblPrEx>
          <w:tblCellMar>
            <w:top w:w="0" w:type="dxa"/>
            <w:left w:w="108" w:type="dxa"/>
            <w:bottom w:w="0" w:type="dxa"/>
            <w:right w:w="108" w:type="dxa"/>
          </w:tblCellMar>
        </w:tblPrEx>
        <w:trPr>
          <w:trHeight w:val="397" w:hRule="atLeast"/>
          <w:jc w:val="center"/>
        </w:trPr>
        <w:tc>
          <w:tcPr>
            <w:tcW w:w="5245"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奥氮平口服常释剂型5mg</w:t>
            </w:r>
          </w:p>
        </w:tc>
        <w:tc>
          <w:tcPr>
            <w:tcW w:w="2410"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2703288</w:t>
            </w:r>
          </w:p>
        </w:tc>
        <w:tc>
          <w:tcPr>
            <w:tcW w:w="1843"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9656530.92</w:t>
            </w:r>
          </w:p>
        </w:tc>
        <w:tc>
          <w:tcPr>
            <w:tcW w:w="1559" w:type="dxa"/>
            <w:vMerge w:val="continue"/>
            <w:tcBorders>
              <w:top w:val="nil"/>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olor w:val="000000"/>
                <w:sz w:val="24"/>
                <w:szCs w:val="24"/>
              </w:rPr>
            </w:pPr>
          </w:p>
        </w:tc>
        <w:tc>
          <w:tcPr>
            <w:tcW w:w="1701" w:type="dxa"/>
            <w:vMerge w:val="continue"/>
            <w:tcBorders>
              <w:top w:val="nil"/>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olor w:val="000000"/>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98.77%</w:t>
            </w:r>
          </w:p>
        </w:tc>
      </w:tr>
      <w:tr>
        <w:tblPrEx>
          <w:tblCellMar>
            <w:top w:w="0" w:type="dxa"/>
            <w:left w:w="108" w:type="dxa"/>
            <w:bottom w:w="0" w:type="dxa"/>
            <w:right w:w="108" w:type="dxa"/>
          </w:tblCellMar>
        </w:tblPrEx>
        <w:trPr>
          <w:trHeight w:val="397" w:hRule="atLeast"/>
          <w:jc w:val="center"/>
        </w:trPr>
        <w:tc>
          <w:tcPr>
            <w:tcW w:w="5245"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头孢呋辛酯口服常释剂型250mg</w:t>
            </w:r>
          </w:p>
        </w:tc>
        <w:tc>
          <w:tcPr>
            <w:tcW w:w="2410"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3508112</w:t>
            </w:r>
          </w:p>
        </w:tc>
        <w:tc>
          <w:tcPr>
            <w:tcW w:w="1843"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1697049.18</w:t>
            </w:r>
          </w:p>
        </w:tc>
        <w:tc>
          <w:tcPr>
            <w:tcW w:w="1559"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89.88%</w:t>
            </w:r>
          </w:p>
        </w:tc>
        <w:tc>
          <w:tcPr>
            <w:tcW w:w="1701"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94.57%</w:t>
            </w:r>
          </w:p>
        </w:tc>
        <w:tc>
          <w:tcPr>
            <w:tcW w:w="1559"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96.93%</w:t>
            </w:r>
          </w:p>
        </w:tc>
      </w:tr>
      <w:tr>
        <w:tblPrEx>
          <w:tblCellMar>
            <w:top w:w="0" w:type="dxa"/>
            <w:left w:w="108" w:type="dxa"/>
            <w:bottom w:w="0" w:type="dxa"/>
            <w:right w:w="108" w:type="dxa"/>
          </w:tblCellMar>
        </w:tblPrEx>
        <w:trPr>
          <w:trHeight w:val="397" w:hRule="atLeast"/>
          <w:jc w:val="center"/>
        </w:trPr>
        <w:tc>
          <w:tcPr>
            <w:tcW w:w="5245"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利培酮口服常释剂型1mg</w:t>
            </w:r>
          </w:p>
        </w:tc>
        <w:tc>
          <w:tcPr>
            <w:tcW w:w="2410"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7777800</w:t>
            </w:r>
          </w:p>
        </w:tc>
        <w:tc>
          <w:tcPr>
            <w:tcW w:w="1843"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933336.00</w:t>
            </w:r>
          </w:p>
        </w:tc>
        <w:tc>
          <w:tcPr>
            <w:tcW w:w="1559"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60.88%</w:t>
            </w:r>
          </w:p>
        </w:tc>
        <w:tc>
          <w:tcPr>
            <w:tcW w:w="1701"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89.89%</w:t>
            </w:r>
          </w:p>
        </w:tc>
        <w:tc>
          <w:tcPr>
            <w:tcW w:w="1559"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99.22%</w:t>
            </w:r>
          </w:p>
        </w:tc>
      </w:tr>
      <w:tr>
        <w:tblPrEx>
          <w:tblCellMar>
            <w:top w:w="0" w:type="dxa"/>
            <w:left w:w="108" w:type="dxa"/>
            <w:bottom w:w="0" w:type="dxa"/>
            <w:right w:w="108" w:type="dxa"/>
          </w:tblCellMar>
        </w:tblPrEx>
        <w:trPr>
          <w:trHeight w:val="397" w:hRule="atLeast"/>
          <w:jc w:val="center"/>
        </w:trPr>
        <w:tc>
          <w:tcPr>
            <w:tcW w:w="5245"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吉非替尼口服常释剂型250mg</w:t>
            </w:r>
          </w:p>
        </w:tc>
        <w:tc>
          <w:tcPr>
            <w:tcW w:w="2410"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100050</w:t>
            </w:r>
          </w:p>
        </w:tc>
        <w:tc>
          <w:tcPr>
            <w:tcW w:w="1843"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5472735.00</w:t>
            </w:r>
          </w:p>
        </w:tc>
        <w:tc>
          <w:tcPr>
            <w:tcW w:w="1559"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98.71%</w:t>
            </w:r>
          </w:p>
        </w:tc>
        <w:tc>
          <w:tcPr>
            <w:tcW w:w="1701"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93.37%</w:t>
            </w:r>
          </w:p>
        </w:tc>
        <w:tc>
          <w:tcPr>
            <w:tcW w:w="1559"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99.05%</w:t>
            </w:r>
          </w:p>
        </w:tc>
      </w:tr>
      <w:tr>
        <w:tblPrEx>
          <w:tblCellMar>
            <w:top w:w="0" w:type="dxa"/>
            <w:left w:w="108" w:type="dxa"/>
            <w:bottom w:w="0" w:type="dxa"/>
            <w:right w:w="108" w:type="dxa"/>
          </w:tblCellMar>
        </w:tblPrEx>
        <w:trPr>
          <w:trHeight w:val="397" w:hRule="atLeast"/>
          <w:jc w:val="center"/>
        </w:trPr>
        <w:tc>
          <w:tcPr>
            <w:tcW w:w="5245"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福辛普利口服常释剂型10mg</w:t>
            </w:r>
          </w:p>
        </w:tc>
        <w:tc>
          <w:tcPr>
            <w:tcW w:w="2410"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321034</w:t>
            </w:r>
          </w:p>
        </w:tc>
        <w:tc>
          <w:tcPr>
            <w:tcW w:w="1843"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263341.18</w:t>
            </w:r>
          </w:p>
        </w:tc>
        <w:tc>
          <w:tcPr>
            <w:tcW w:w="1559"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116.93%</w:t>
            </w:r>
          </w:p>
        </w:tc>
        <w:tc>
          <w:tcPr>
            <w:tcW w:w="1701"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99.83%</w:t>
            </w:r>
          </w:p>
        </w:tc>
        <w:tc>
          <w:tcPr>
            <w:tcW w:w="1559"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97.11%</w:t>
            </w:r>
          </w:p>
        </w:tc>
      </w:tr>
      <w:tr>
        <w:tblPrEx>
          <w:tblCellMar>
            <w:top w:w="0" w:type="dxa"/>
            <w:left w:w="108" w:type="dxa"/>
            <w:bottom w:w="0" w:type="dxa"/>
            <w:right w:w="108" w:type="dxa"/>
          </w:tblCellMar>
        </w:tblPrEx>
        <w:trPr>
          <w:trHeight w:val="397" w:hRule="atLeast"/>
          <w:jc w:val="center"/>
        </w:trPr>
        <w:tc>
          <w:tcPr>
            <w:tcW w:w="5245"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厄贝沙坦氢氯噻嗪口服常释剂型150mg+12.5mg</w:t>
            </w:r>
          </w:p>
        </w:tc>
        <w:tc>
          <w:tcPr>
            <w:tcW w:w="2410"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6858670</w:t>
            </w:r>
          </w:p>
        </w:tc>
        <w:tc>
          <w:tcPr>
            <w:tcW w:w="1843"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6995843.40</w:t>
            </w:r>
          </w:p>
        </w:tc>
        <w:tc>
          <w:tcPr>
            <w:tcW w:w="1559"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92.09%</w:t>
            </w:r>
          </w:p>
        </w:tc>
        <w:tc>
          <w:tcPr>
            <w:tcW w:w="1701"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97.76%</w:t>
            </w:r>
          </w:p>
        </w:tc>
        <w:tc>
          <w:tcPr>
            <w:tcW w:w="1559"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98.56%</w:t>
            </w:r>
          </w:p>
        </w:tc>
      </w:tr>
      <w:tr>
        <w:tblPrEx>
          <w:tblCellMar>
            <w:top w:w="0" w:type="dxa"/>
            <w:left w:w="108" w:type="dxa"/>
            <w:bottom w:w="0" w:type="dxa"/>
            <w:right w:w="108" w:type="dxa"/>
          </w:tblCellMar>
        </w:tblPrEx>
        <w:trPr>
          <w:trHeight w:val="397" w:hRule="atLeast"/>
          <w:jc w:val="center"/>
        </w:trPr>
        <w:tc>
          <w:tcPr>
            <w:tcW w:w="5245"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赖诺普利口服常释剂型10mg</w:t>
            </w:r>
          </w:p>
        </w:tc>
        <w:tc>
          <w:tcPr>
            <w:tcW w:w="2410"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155708</w:t>
            </w:r>
          </w:p>
        </w:tc>
        <w:tc>
          <w:tcPr>
            <w:tcW w:w="1843"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35868.45</w:t>
            </w:r>
          </w:p>
        </w:tc>
        <w:tc>
          <w:tcPr>
            <w:tcW w:w="1559"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98.68%</w:t>
            </w:r>
          </w:p>
        </w:tc>
        <w:tc>
          <w:tcPr>
            <w:tcW w:w="1701"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100.00%</w:t>
            </w:r>
          </w:p>
        </w:tc>
        <w:tc>
          <w:tcPr>
            <w:tcW w:w="1559"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67.81%</w:t>
            </w:r>
          </w:p>
        </w:tc>
      </w:tr>
      <w:tr>
        <w:tblPrEx>
          <w:tblCellMar>
            <w:top w:w="0" w:type="dxa"/>
            <w:left w:w="108" w:type="dxa"/>
            <w:bottom w:w="0" w:type="dxa"/>
            <w:right w:w="108" w:type="dxa"/>
          </w:tblCellMar>
        </w:tblPrEx>
        <w:trPr>
          <w:trHeight w:val="397" w:hRule="atLeast"/>
          <w:jc w:val="center"/>
        </w:trPr>
        <w:tc>
          <w:tcPr>
            <w:tcW w:w="5245"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替诺福韦二吡呋酯口服常释剂型300mg</w:t>
            </w:r>
          </w:p>
        </w:tc>
        <w:tc>
          <w:tcPr>
            <w:tcW w:w="2410"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1720530</w:t>
            </w:r>
          </w:p>
        </w:tc>
        <w:tc>
          <w:tcPr>
            <w:tcW w:w="1843"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652080.87</w:t>
            </w:r>
          </w:p>
        </w:tc>
        <w:tc>
          <w:tcPr>
            <w:tcW w:w="1559"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103.31%</w:t>
            </w:r>
          </w:p>
        </w:tc>
        <w:tc>
          <w:tcPr>
            <w:tcW w:w="1701"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78.94%</w:t>
            </w:r>
          </w:p>
        </w:tc>
        <w:tc>
          <w:tcPr>
            <w:tcW w:w="1559"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82.38%</w:t>
            </w:r>
          </w:p>
        </w:tc>
      </w:tr>
      <w:tr>
        <w:tblPrEx>
          <w:tblCellMar>
            <w:top w:w="0" w:type="dxa"/>
            <w:left w:w="108" w:type="dxa"/>
            <w:bottom w:w="0" w:type="dxa"/>
            <w:right w:w="108" w:type="dxa"/>
          </w:tblCellMar>
        </w:tblPrEx>
        <w:trPr>
          <w:trHeight w:val="397" w:hRule="atLeast"/>
          <w:jc w:val="center"/>
        </w:trPr>
        <w:tc>
          <w:tcPr>
            <w:tcW w:w="5245"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氯沙坦口服常释剂型100mg</w:t>
            </w:r>
          </w:p>
        </w:tc>
        <w:tc>
          <w:tcPr>
            <w:tcW w:w="2410"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284410</w:t>
            </w:r>
          </w:p>
        </w:tc>
        <w:tc>
          <w:tcPr>
            <w:tcW w:w="1843"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508614.35</w:t>
            </w:r>
          </w:p>
        </w:tc>
        <w:tc>
          <w:tcPr>
            <w:tcW w:w="1559" w:type="dxa"/>
            <w:vMerge w:val="restart"/>
            <w:tcBorders>
              <w:top w:val="nil"/>
              <w:left w:val="single" w:color="auto" w:sz="4" w:space="0"/>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113.5%</w:t>
            </w:r>
          </w:p>
        </w:tc>
        <w:tc>
          <w:tcPr>
            <w:tcW w:w="1701" w:type="dxa"/>
            <w:vMerge w:val="restart"/>
            <w:tcBorders>
              <w:top w:val="nil"/>
              <w:left w:val="single" w:color="auto" w:sz="4" w:space="0"/>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98.40%</w:t>
            </w:r>
          </w:p>
        </w:tc>
        <w:tc>
          <w:tcPr>
            <w:tcW w:w="1559"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93.98%</w:t>
            </w:r>
          </w:p>
        </w:tc>
      </w:tr>
      <w:tr>
        <w:tblPrEx>
          <w:tblCellMar>
            <w:top w:w="0" w:type="dxa"/>
            <w:left w:w="108" w:type="dxa"/>
            <w:bottom w:w="0" w:type="dxa"/>
            <w:right w:w="108" w:type="dxa"/>
          </w:tblCellMar>
        </w:tblPrEx>
        <w:trPr>
          <w:trHeight w:val="397" w:hRule="atLeast"/>
          <w:jc w:val="center"/>
        </w:trPr>
        <w:tc>
          <w:tcPr>
            <w:tcW w:w="5245"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氯沙坦口服常释剂型50mg</w:t>
            </w:r>
          </w:p>
        </w:tc>
        <w:tc>
          <w:tcPr>
            <w:tcW w:w="2410"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8128960</w:t>
            </w:r>
          </w:p>
        </w:tc>
        <w:tc>
          <w:tcPr>
            <w:tcW w:w="1843"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8325770.25</w:t>
            </w:r>
          </w:p>
        </w:tc>
        <w:tc>
          <w:tcPr>
            <w:tcW w:w="1559" w:type="dxa"/>
            <w:vMerge w:val="continue"/>
            <w:tcBorders>
              <w:top w:val="nil"/>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olor w:val="000000"/>
                <w:sz w:val="24"/>
                <w:szCs w:val="24"/>
              </w:rPr>
            </w:pPr>
          </w:p>
        </w:tc>
        <w:tc>
          <w:tcPr>
            <w:tcW w:w="1701" w:type="dxa"/>
            <w:vMerge w:val="continue"/>
            <w:tcBorders>
              <w:top w:val="nil"/>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olor w:val="000000"/>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98.70%</w:t>
            </w:r>
          </w:p>
        </w:tc>
      </w:tr>
      <w:tr>
        <w:tblPrEx>
          <w:tblCellMar>
            <w:top w:w="0" w:type="dxa"/>
            <w:left w:w="108" w:type="dxa"/>
            <w:bottom w:w="0" w:type="dxa"/>
            <w:right w:w="108" w:type="dxa"/>
          </w:tblCellMar>
        </w:tblPrEx>
        <w:trPr>
          <w:trHeight w:val="397" w:hRule="atLeast"/>
          <w:jc w:val="center"/>
        </w:trPr>
        <w:tc>
          <w:tcPr>
            <w:tcW w:w="5245"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依那普利口服常释剂型10mg</w:t>
            </w:r>
          </w:p>
        </w:tc>
        <w:tc>
          <w:tcPr>
            <w:tcW w:w="2410"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5244304</w:t>
            </w:r>
          </w:p>
        </w:tc>
        <w:tc>
          <w:tcPr>
            <w:tcW w:w="1843"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2926977.17</w:t>
            </w:r>
          </w:p>
        </w:tc>
        <w:tc>
          <w:tcPr>
            <w:tcW w:w="1559" w:type="dxa"/>
            <w:vMerge w:val="restart"/>
            <w:tcBorders>
              <w:top w:val="nil"/>
              <w:left w:val="single" w:color="auto" w:sz="4" w:space="0"/>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111.6%</w:t>
            </w:r>
          </w:p>
        </w:tc>
        <w:tc>
          <w:tcPr>
            <w:tcW w:w="1701" w:type="dxa"/>
            <w:vMerge w:val="restart"/>
            <w:tcBorders>
              <w:top w:val="nil"/>
              <w:left w:val="single" w:color="auto" w:sz="4" w:space="0"/>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98.87%</w:t>
            </w:r>
          </w:p>
        </w:tc>
        <w:tc>
          <w:tcPr>
            <w:tcW w:w="1559"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94.27%</w:t>
            </w:r>
          </w:p>
        </w:tc>
      </w:tr>
      <w:tr>
        <w:tblPrEx>
          <w:tblCellMar>
            <w:top w:w="0" w:type="dxa"/>
            <w:left w:w="108" w:type="dxa"/>
            <w:bottom w:w="0" w:type="dxa"/>
            <w:right w:w="108" w:type="dxa"/>
          </w:tblCellMar>
        </w:tblPrEx>
        <w:trPr>
          <w:trHeight w:val="397" w:hRule="atLeast"/>
          <w:jc w:val="center"/>
        </w:trPr>
        <w:tc>
          <w:tcPr>
            <w:tcW w:w="5245"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依那普利口服常释剂型5mg</w:t>
            </w:r>
          </w:p>
        </w:tc>
        <w:tc>
          <w:tcPr>
            <w:tcW w:w="2410"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3677888</w:t>
            </w:r>
          </w:p>
        </w:tc>
        <w:tc>
          <w:tcPr>
            <w:tcW w:w="1843"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1206807.00</w:t>
            </w:r>
          </w:p>
        </w:tc>
        <w:tc>
          <w:tcPr>
            <w:tcW w:w="1559" w:type="dxa"/>
            <w:vMerge w:val="continue"/>
            <w:tcBorders>
              <w:top w:val="nil"/>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olor w:val="000000"/>
                <w:sz w:val="24"/>
                <w:szCs w:val="24"/>
              </w:rPr>
            </w:pPr>
          </w:p>
        </w:tc>
        <w:tc>
          <w:tcPr>
            <w:tcW w:w="1701" w:type="dxa"/>
            <w:vMerge w:val="continue"/>
            <w:tcBorders>
              <w:top w:val="nil"/>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olor w:val="000000"/>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91.82%</w:t>
            </w:r>
          </w:p>
        </w:tc>
      </w:tr>
      <w:tr>
        <w:tblPrEx>
          <w:tblCellMar>
            <w:top w:w="0" w:type="dxa"/>
            <w:left w:w="108" w:type="dxa"/>
            <w:bottom w:w="0" w:type="dxa"/>
            <w:right w:w="108" w:type="dxa"/>
          </w:tblCellMar>
        </w:tblPrEx>
        <w:trPr>
          <w:trHeight w:val="397" w:hRule="atLeast"/>
          <w:jc w:val="center"/>
        </w:trPr>
        <w:tc>
          <w:tcPr>
            <w:tcW w:w="5245"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左乙拉西坦口服常释剂型250mg</w:t>
            </w:r>
          </w:p>
        </w:tc>
        <w:tc>
          <w:tcPr>
            <w:tcW w:w="2410"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1617000</w:t>
            </w:r>
          </w:p>
        </w:tc>
        <w:tc>
          <w:tcPr>
            <w:tcW w:w="1843"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3869481.00</w:t>
            </w:r>
          </w:p>
        </w:tc>
        <w:tc>
          <w:tcPr>
            <w:tcW w:w="1559"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142.30%</w:t>
            </w:r>
          </w:p>
        </w:tc>
        <w:tc>
          <w:tcPr>
            <w:tcW w:w="1701"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73.02%</w:t>
            </w:r>
          </w:p>
        </w:tc>
        <w:tc>
          <w:tcPr>
            <w:tcW w:w="1559"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95.51%</w:t>
            </w:r>
          </w:p>
        </w:tc>
      </w:tr>
      <w:tr>
        <w:tblPrEx>
          <w:tblCellMar>
            <w:top w:w="0" w:type="dxa"/>
            <w:left w:w="108" w:type="dxa"/>
            <w:bottom w:w="0" w:type="dxa"/>
            <w:right w:w="108" w:type="dxa"/>
          </w:tblCellMar>
        </w:tblPrEx>
        <w:trPr>
          <w:trHeight w:val="397" w:hRule="atLeast"/>
          <w:jc w:val="center"/>
        </w:trPr>
        <w:tc>
          <w:tcPr>
            <w:tcW w:w="5245"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伊马替尼口服常释剂型100mg</w:t>
            </w:r>
          </w:p>
        </w:tc>
        <w:tc>
          <w:tcPr>
            <w:tcW w:w="2410"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210576</w:t>
            </w:r>
          </w:p>
        </w:tc>
        <w:tc>
          <w:tcPr>
            <w:tcW w:w="1843"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2187785.22</w:t>
            </w:r>
          </w:p>
        </w:tc>
        <w:tc>
          <w:tcPr>
            <w:tcW w:w="1559"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146.95%</w:t>
            </w:r>
          </w:p>
        </w:tc>
        <w:tc>
          <w:tcPr>
            <w:tcW w:w="1701"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84.21%</w:t>
            </w:r>
          </w:p>
        </w:tc>
        <w:tc>
          <w:tcPr>
            <w:tcW w:w="1559"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96.82%</w:t>
            </w:r>
          </w:p>
        </w:tc>
      </w:tr>
      <w:tr>
        <w:tblPrEx>
          <w:tblCellMar>
            <w:top w:w="0" w:type="dxa"/>
            <w:left w:w="108" w:type="dxa"/>
            <w:bottom w:w="0" w:type="dxa"/>
            <w:right w:w="108" w:type="dxa"/>
          </w:tblCellMar>
        </w:tblPrEx>
        <w:trPr>
          <w:trHeight w:val="397" w:hRule="atLeast"/>
          <w:jc w:val="center"/>
        </w:trPr>
        <w:tc>
          <w:tcPr>
            <w:tcW w:w="5245"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孟鲁司特口服常释剂型10mg</w:t>
            </w:r>
          </w:p>
        </w:tc>
        <w:tc>
          <w:tcPr>
            <w:tcW w:w="2410"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1336365</w:t>
            </w:r>
          </w:p>
        </w:tc>
        <w:tc>
          <w:tcPr>
            <w:tcW w:w="1843"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5179750.74</w:t>
            </w:r>
          </w:p>
        </w:tc>
        <w:tc>
          <w:tcPr>
            <w:tcW w:w="1559"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111.86%</w:t>
            </w:r>
          </w:p>
        </w:tc>
        <w:tc>
          <w:tcPr>
            <w:tcW w:w="1701"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99.98%</w:t>
            </w:r>
          </w:p>
        </w:tc>
        <w:tc>
          <w:tcPr>
            <w:tcW w:w="1559"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83.37%</w:t>
            </w:r>
          </w:p>
        </w:tc>
      </w:tr>
      <w:tr>
        <w:tblPrEx>
          <w:tblCellMar>
            <w:top w:w="0" w:type="dxa"/>
            <w:left w:w="108" w:type="dxa"/>
            <w:bottom w:w="0" w:type="dxa"/>
            <w:right w:w="108" w:type="dxa"/>
          </w:tblCellMar>
        </w:tblPrEx>
        <w:trPr>
          <w:trHeight w:val="397" w:hRule="atLeast"/>
          <w:jc w:val="center"/>
        </w:trPr>
        <w:tc>
          <w:tcPr>
            <w:tcW w:w="5245"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蒙脱石口服散剂3g</w:t>
            </w:r>
          </w:p>
        </w:tc>
        <w:tc>
          <w:tcPr>
            <w:tcW w:w="2410"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2934060</w:t>
            </w:r>
          </w:p>
        </w:tc>
        <w:tc>
          <w:tcPr>
            <w:tcW w:w="1843"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965794.75</w:t>
            </w:r>
          </w:p>
        </w:tc>
        <w:tc>
          <w:tcPr>
            <w:tcW w:w="1559"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113.84%</w:t>
            </w:r>
          </w:p>
        </w:tc>
        <w:tc>
          <w:tcPr>
            <w:tcW w:w="1701"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95.23%</w:t>
            </w:r>
          </w:p>
        </w:tc>
        <w:tc>
          <w:tcPr>
            <w:tcW w:w="1559"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88.01%</w:t>
            </w:r>
          </w:p>
        </w:tc>
      </w:tr>
      <w:tr>
        <w:tblPrEx>
          <w:tblCellMar>
            <w:top w:w="0" w:type="dxa"/>
            <w:left w:w="108" w:type="dxa"/>
            <w:bottom w:w="0" w:type="dxa"/>
            <w:right w:w="108" w:type="dxa"/>
          </w:tblCellMar>
        </w:tblPrEx>
        <w:trPr>
          <w:trHeight w:val="397" w:hRule="atLeast"/>
          <w:jc w:val="center"/>
        </w:trPr>
        <w:tc>
          <w:tcPr>
            <w:tcW w:w="5245"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培美曲塞注射剂100mg</w:t>
            </w:r>
          </w:p>
        </w:tc>
        <w:tc>
          <w:tcPr>
            <w:tcW w:w="2410"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6183</w:t>
            </w:r>
          </w:p>
        </w:tc>
        <w:tc>
          <w:tcPr>
            <w:tcW w:w="1843"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4934034.00</w:t>
            </w:r>
          </w:p>
        </w:tc>
        <w:tc>
          <w:tcPr>
            <w:tcW w:w="1559" w:type="dxa"/>
            <w:vMerge w:val="restart"/>
            <w:tcBorders>
              <w:top w:val="nil"/>
              <w:left w:val="single" w:color="auto" w:sz="4" w:space="0"/>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82.7%</w:t>
            </w:r>
          </w:p>
        </w:tc>
        <w:tc>
          <w:tcPr>
            <w:tcW w:w="1701" w:type="dxa"/>
            <w:vMerge w:val="restart"/>
            <w:tcBorders>
              <w:top w:val="nil"/>
              <w:left w:val="single" w:color="auto" w:sz="4" w:space="0"/>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87.84%</w:t>
            </w:r>
          </w:p>
        </w:tc>
        <w:tc>
          <w:tcPr>
            <w:tcW w:w="1559"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94.32%</w:t>
            </w:r>
          </w:p>
        </w:tc>
      </w:tr>
      <w:tr>
        <w:tblPrEx>
          <w:tblCellMar>
            <w:top w:w="0" w:type="dxa"/>
            <w:left w:w="108" w:type="dxa"/>
            <w:bottom w:w="0" w:type="dxa"/>
            <w:right w:w="108" w:type="dxa"/>
          </w:tblCellMar>
        </w:tblPrEx>
        <w:trPr>
          <w:trHeight w:val="397" w:hRule="atLeast"/>
          <w:jc w:val="center"/>
        </w:trPr>
        <w:tc>
          <w:tcPr>
            <w:tcW w:w="5245"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培美曲塞注射剂500mg</w:t>
            </w:r>
          </w:p>
        </w:tc>
        <w:tc>
          <w:tcPr>
            <w:tcW w:w="2410"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884</w:t>
            </w:r>
          </w:p>
        </w:tc>
        <w:tc>
          <w:tcPr>
            <w:tcW w:w="1843"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2418473.72</w:t>
            </w:r>
          </w:p>
        </w:tc>
        <w:tc>
          <w:tcPr>
            <w:tcW w:w="1559" w:type="dxa"/>
            <w:vMerge w:val="continue"/>
            <w:tcBorders>
              <w:top w:val="nil"/>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olor w:val="000000"/>
                <w:sz w:val="24"/>
                <w:szCs w:val="24"/>
              </w:rPr>
            </w:pPr>
          </w:p>
        </w:tc>
        <w:tc>
          <w:tcPr>
            <w:tcW w:w="1701" w:type="dxa"/>
            <w:vMerge w:val="continue"/>
            <w:tcBorders>
              <w:top w:val="nil"/>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olor w:val="000000"/>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97.26%</w:t>
            </w:r>
          </w:p>
        </w:tc>
      </w:tr>
      <w:tr>
        <w:tblPrEx>
          <w:tblCellMar>
            <w:top w:w="0" w:type="dxa"/>
            <w:left w:w="108" w:type="dxa"/>
            <w:bottom w:w="0" w:type="dxa"/>
            <w:right w:w="108" w:type="dxa"/>
          </w:tblCellMar>
        </w:tblPrEx>
        <w:trPr>
          <w:trHeight w:val="397" w:hRule="atLeast"/>
          <w:jc w:val="center"/>
        </w:trPr>
        <w:tc>
          <w:tcPr>
            <w:tcW w:w="5245"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氟比洛芬酯注射剂50mg/5ml</w:t>
            </w:r>
          </w:p>
        </w:tc>
        <w:tc>
          <w:tcPr>
            <w:tcW w:w="2410"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270145</w:t>
            </w:r>
          </w:p>
        </w:tc>
        <w:tc>
          <w:tcPr>
            <w:tcW w:w="1843"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5929682.75</w:t>
            </w:r>
          </w:p>
        </w:tc>
        <w:tc>
          <w:tcPr>
            <w:tcW w:w="1559"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101.56%</w:t>
            </w:r>
          </w:p>
        </w:tc>
        <w:tc>
          <w:tcPr>
            <w:tcW w:w="1701"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95.55%</w:t>
            </w:r>
          </w:p>
        </w:tc>
        <w:tc>
          <w:tcPr>
            <w:tcW w:w="1559"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94.21%</w:t>
            </w:r>
          </w:p>
        </w:tc>
      </w:tr>
      <w:tr>
        <w:tblPrEx>
          <w:tblCellMar>
            <w:top w:w="0" w:type="dxa"/>
            <w:left w:w="108" w:type="dxa"/>
            <w:bottom w:w="0" w:type="dxa"/>
            <w:right w:w="108" w:type="dxa"/>
          </w:tblCellMar>
        </w:tblPrEx>
        <w:trPr>
          <w:trHeight w:val="397" w:hRule="atLeast"/>
          <w:jc w:val="center"/>
        </w:trPr>
        <w:tc>
          <w:tcPr>
            <w:tcW w:w="5245"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右美托咪定注射剂0.2mg/2ml</w:t>
            </w:r>
          </w:p>
        </w:tc>
        <w:tc>
          <w:tcPr>
            <w:tcW w:w="2410"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347440</w:t>
            </w:r>
          </w:p>
        </w:tc>
        <w:tc>
          <w:tcPr>
            <w:tcW w:w="1843"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46209520.00</w:t>
            </w:r>
          </w:p>
        </w:tc>
        <w:tc>
          <w:tcPr>
            <w:tcW w:w="1559"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115.65%</w:t>
            </w:r>
          </w:p>
        </w:tc>
        <w:tc>
          <w:tcPr>
            <w:tcW w:w="1701"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98.94%</w:t>
            </w:r>
          </w:p>
        </w:tc>
        <w:tc>
          <w:tcPr>
            <w:tcW w:w="1559"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97.61%</w:t>
            </w:r>
          </w:p>
        </w:tc>
      </w:tr>
      <w:tr>
        <w:tblPrEx>
          <w:tblCellMar>
            <w:top w:w="0" w:type="dxa"/>
            <w:left w:w="0" w:type="dxa"/>
            <w:bottom w:w="0" w:type="dxa"/>
            <w:right w:w="0" w:type="dxa"/>
          </w:tblCellMar>
        </w:tblPrEx>
        <w:trPr>
          <w:trHeight w:val="397" w:hRule="atLeast"/>
          <w:jc w:val="center"/>
        </w:trPr>
        <w:tc>
          <w:tcPr>
            <w:tcW w:w="52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400" w:lineRule="exact"/>
              <w:jc w:val="center"/>
              <w:textAlignment w:val="center"/>
              <w:rPr>
                <w:rFonts w:cs="宋体" w:asciiTheme="minorEastAsia" w:hAnsiTheme="minorEastAsia" w:eastAsiaTheme="minorEastAsia"/>
                <w:b/>
                <w:color w:val="000000"/>
                <w:kern w:val="0"/>
                <w:sz w:val="24"/>
                <w:szCs w:val="24"/>
                <w:lang w:bidi="ar"/>
              </w:rPr>
            </w:pPr>
            <w:r>
              <w:rPr>
                <w:rFonts w:hint="eastAsia" w:cs="宋体" w:asciiTheme="minorEastAsia" w:hAnsiTheme="minorEastAsia" w:eastAsiaTheme="minorEastAsia"/>
                <w:b/>
                <w:color w:val="000000"/>
                <w:kern w:val="0"/>
                <w:sz w:val="24"/>
                <w:szCs w:val="24"/>
                <w:lang w:bidi="ar"/>
              </w:rPr>
              <w:t>总计</w:t>
            </w:r>
          </w:p>
        </w:tc>
        <w:tc>
          <w:tcPr>
            <w:tcW w:w="241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400" w:lineRule="exact"/>
              <w:jc w:val="center"/>
              <w:textAlignment w:val="center"/>
              <w:rPr>
                <w:rFonts w:cs="宋体" w:asciiTheme="minorEastAsia" w:hAnsiTheme="minorEastAsia" w:eastAsiaTheme="minorEastAsia"/>
                <w:b/>
                <w:color w:val="000000"/>
                <w:kern w:val="0"/>
                <w:sz w:val="24"/>
                <w:szCs w:val="24"/>
                <w:lang w:bidi="ar"/>
              </w:rPr>
            </w:pPr>
            <w:r>
              <w:rPr>
                <w:rFonts w:hint="eastAsia" w:cs="宋体" w:asciiTheme="minorEastAsia" w:hAnsiTheme="minorEastAsia" w:eastAsiaTheme="minorEastAsia"/>
                <w:b/>
                <w:color w:val="000000"/>
                <w:kern w:val="0"/>
                <w:sz w:val="24"/>
                <w:szCs w:val="24"/>
                <w:lang w:bidi="ar"/>
              </w:rPr>
              <w:t>221495858</w:t>
            </w:r>
          </w:p>
        </w:tc>
        <w:tc>
          <w:tcPr>
            <w:tcW w:w="1843"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400" w:lineRule="exact"/>
              <w:jc w:val="center"/>
              <w:textAlignment w:val="center"/>
              <w:rPr>
                <w:rFonts w:cs="宋体" w:asciiTheme="minorEastAsia" w:hAnsiTheme="minorEastAsia" w:eastAsiaTheme="minorEastAsia"/>
                <w:b/>
                <w:color w:val="000000"/>
                <w:kern w:val="0"/>
                <w:sz w:val="24"/>
                <w:szCs w:val="24"/>
                <w:lang w:bidi="ar"/>
              </w:rPr>
            </w:pPr>
            <w:r>
              <w:rPr>
                <w:rFonts w:hint="eastAsia" w:cs="宋体" w:asciiTheme="minorEastAsia" w:hAnsiTheme="minorEastAsia" w:eastAsiaTheme="minorEastAsia"/>
                <w:b/>
                <w:color w:val="000000"/>
                <w:kern w:val="0"/>
                <w:sz w:val="24"/>
                <w:szCs w:val="24"/>
                <w:lang w:bidi="ar"/>
              </w:rPr>
              <w:t>208129040.02</w:t>
            </w:r>
          </w:p>
        </w:tc>
        <w:tc>
          <w:tcPr>
            <w:tcW w:w="1559"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400" w:lineRule="exact"/>
              <w:jc w:val="center"/>
              <w:textAlignment w:val="center"/>
              <w:rPr>
                <w:rFonts w:cs="宋体" w:asciiTheme="minorEastAsia" w:hAnsiTheme="minorEastAsia" w:eastAsiaTheme="minorEastAsia"/>
                <w:b/>
                <w:color w:val="000000"/>
                <w:kern w:val="0"/>
                <w:sz w:val="24"/>
                <w:szCs w:val="24"/>
                <w:lang w:bidi="ar"/>
              </w:rPr>
            </w:pPr>
            <w:r>
              <w:rPr>
                <w:rFonts w:hint="eastAsia" w:cs="宋体" w:asciiTheme="minorEastAsia" w:hAnsiTheme="minorEastAsia" w:eastAsiaTheme="minorEastAsia"/>
                <w:b/>
                <w:color w:val="000000"/>
                <w:kern w:val="0"/>
                <w:sz w:val="24"/>
                <w:szCs w:val="24"/>
                <w:lang w:bidi="ar"/>
              </w:rPr>
              <w:t>83.70%</w:t>
            </w:r>
          </w:p>
        </w:tc>
        <w:tc>
          <w:tcPr>
            <w:tcW w:w="1701"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400" w:lineRule="exact"/>
              <w:jc w:val="center"/>
              <w:textAlignment w:val="center"/>
              <w:rPr>
                <w:rFonts w:cs="宋体" w:asciiTheme="minorEastAsia" w:hAnsiTheme="minorEastAsia" w:eastAsiaTheme="minorEastAsia"/>
                <w:b/>
                <w:color w:val="000000"/>
                <w:kern w:val="0"/>
                <w:sz w:val="24"/>
                <w:szCs w:val="24"/>
                <w:lang w:bidi="ar"/>
              </w:rPr>
            </w:pPr>
            <w:r>
              <w:rPr>
                <w:rFonts w:hint="eastAsia" w:cs="宋体" w:asciiTheme="minorEastAsia" w:hAnsiTheme="minorEastAsia" w:eastAsiaTheme="minorEastAsia"/>
                <w:b/>
                <w:color w:val="000000"/>
                <w:kern w:val="0"/>
                <w:sz w:val="24"/>
                <w:szCs w:val="24"/>
                <w:lang w:bidi="ar"/>
              </w:rPr>
              <w:t>94.15%</w:t>
            </w:r>
          </w:p>
        </w:tc>
        <w:tc>
          <w:tcPr>
            <w:tcW w:w="1559"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400" w:lineRule="exact"/>
              <w:jc w:val="center"/>
              <w:textAlignment w:val="center"/>
              <w:rPr>
                <w:rFonts w:cs="宋体" w:asciiTheme="minorEastAsia" w:hAnsiTheme="minorEastAsia" w:eastAsiaTheme="minorEastAsia"/>
                <w:b/>
                <w:color w:val="000000"/>
                <w:kern w:val="0"/>
                <w:sz w:val="24"/>
                <w:szCs w:val="24"/>
                <w:lang w:bidi="ar"/>
              </w:rPr>
            </w:pPr>
            <w:r>
              <w:rPr>
                <w:rFonts w:hint="eastAsia" w:cs="宋体" w:asciiTheme="minorEastAsia" w:hAnsiTheme="minorEastAsia" w:eastAsiaTheme="minorEastAsia"/>
                <w:b/>
                <w:color w:val="000000"/>
                <w:kern w:val="0"/>
                <w:sz w:val="24"/>
                <w:szCs w:val="24"/>
                <w:lang w:bidi="ar"/>
              </w:rPr>
              <w:t>84.88%</w:t>
            </w:r>
          </w:p>
        </w:tc>
      </w:tr>
    </w:tbl>
    <w:p>
      <w:pPr>
        <w:rPr>
          <w:rFonts w:ascii="仿宋_GB2312" w:eastAsia="仿宋_GB2312"/>
        </w:rPr>
      </w:pPr>
      <w:r>
        <w:rPr>
          <w:rFonts w:ascii="仿宋_GB2312" w:eastAsia="仿宋_GB2312"/>
        </w:rPr>
        <w:t xml:space="preserve"> </w:t>
      </w:r>
      <w:r>
        <w:rPr>
          <w:rFonts w:ascii="仿宋_GB2312" w:eastAsia="仿宋_GB2312"/>
        </w:rPr>
        <w:br w:type="page"/>
      </w:r>
    </w:p>
    <w:p>
      <w:pPr>
        <w:pStyle w:val="6"/>
        <w:spacing w:line="579" w:lineRule="exact"/>
        <w:ind w:firstLine="0" w:firstLineChars="0"/>
        <w:jc w:val="center"/>
        <w:outlineLvl w:val="0"/>
        <w:rPr>
          <w:rFonts w:ascii="黑体" w:eastAsia="黑体"/>
        </w:rPr>
      </w:pPr>
      <w:r>
        <w:rPr>
          <w:rFonts w:ascii="黑体" w:eastAsia="黑体"/>
          <w:sz w:val="32"/>
        </w:rPr>
        <w:t>附表2:第二批国家组织药品集中采购江西中选药品第二年度采购情况（截至</w:t>
      </w:r>
      <w:r>
        <w:rPr>
          <w:rFonts w:hint="eastAsia" w:ascii="黑体" w:eastAsia="黑体"/>
          <w:sz w:val="32"/>
        </w:rPr>
        <w:t>2021年4</w:t>
      </w:r>
      <w:r>
        <w:rPr>
          <w:rFonts w:ascii="黑体" w:eastAsia="黑体"/>
          <w:sz w:val="32"/>
        </w:rPr>
        <w:t>月30日）</w:t>
      </w:r>
    </w:p>
    <w:tbl>
      <w:tblPr>
        <w:tblStyle w:val="4"/>
        <w:tblW w:w="13875" w:type="dxa"/>
        <w:jc w:val="center"/>
        <w:tblLayout w:type="autofit"/>
        <w:tblCellMar>
          <w:top w:w="0" w:type="dxa"/>
          <w:left w:w="108" w:type="dxa"/>
          <w:bottom w:w="0" w:type="dxa"/>
          <w:right w:w="108" w:type="dxa"/>
        </w:tblCellMar>
      </w:tblPr>
      <w:tblGrid>
        <w:gridCol w:w="4032"/>
        <w:gridCol w:w="2731"/>
        <w:gridCol w:w="1843"/>
        <w:gridCol w:w="1701"/>
        <w:gridCol w:w="1583"/>
        <w:gridCol w:w="1985"/>
      </w:tblGrid>
      <w:tr>
        <w:tblPrEx>
          <w:tblCellMar>
            <w:top w:w="0" w:type="dxa"/>
            <w:left w:w="108" w:type="dxa"/>
            <w:bottom w:w="0" w:type="dxa"/>
            <w:right w:w="108" w:type="dxa"/>
          </w:tblCellMar>
        </w:tblPrEx>
        <w:trPr>
          <w:trHeight w:val="397" w:hRule="atLeast"/>
          <w:tblHeader/>
          <w:jc w:val="center"/>
        </w:trPr>
        <w:tc>
          <w:tcPr>
            <w:tcW w:w="403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textAlignment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通用名剂型规格</w:t>
            </w:r>
          </w:p>
        </w:tc>
        <w:tc>
          <w:tcPr>
            <w:tcW w:w="2731"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textAlignment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采购数量（片/支/袋）</w:t>
            </w:r>
          </w:p>
        </w:tc>
        <w:tc>
          <w:tcPr>
            <w:tcW w:w="1843"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textAlignment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采购金额（元）</w:t>
            </w:r>
          </w:p>
        </w:tc>
        <w:tc>
          <w:tcPr>
            <w:tcW w:w="1701"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textAlignment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完成进度</w:t>
            </w:r>
          </w:p>
        </w:tc>
        <w:tc>
          <w:tcPr>
            <w:tcW w:w="1583"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textAlignment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中选药占比</w:t>
            </w:r>
          </w:p>
        </w:tc>
        <w:tc>
          <w:tcPr>
            <w:tcW w:w="1985"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textAlignment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网上配送率</w:t>
            </w:r>
          </w:p>
        </w:tc>
      </w:tr>
      <w:tr>
        <w:tblPrEx>
          <w:tblCellMar>
            <w:top w:w="0" w:type="dxa"/>
            <w:left w:w="108" w:type="dxa"/>
            <w:bottom w:w="0" w:type="dxa"/>
            <w:right w:w="108" w:type="dxa"/>
          </w:tblCellMar>
        </w:tblPrEx>
        <w:trPr>
          <w:trHeight w:val="397" w:hRule="atLeast"/>
          <w:jc w:val="center"/>
        </w:trPr>
        <w:tc>
          <w:tcPr>
            <w:tcW w:w="4032" w:type="dxa"/>
            <w:tcBorders>
              <w:top w:val="nil"/>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阿比特龙口服常释剂型0.25g</w:t>
            </w:r>
          </w:p>
        </w:tc>
        <w:tc>
          <w:tcPr>
            <w:tcW w:w="273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36360</w:t>
            </w:r>
          </w:p>
        </w:tc>
        <w:tc>
          <w:tcPr>
            <w:tcW w:w="1843"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1301688.00</w:t>
            </w:r>
          </w:p>
        </w:tc>
        <w:tc>
          <w:tcPr>
            <w:tcW w:w="170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27.89%</w:t>
            </w:r>
          </w:p>
        </w:tc>
        <w:tc>
          <w:tcPr>
            <w:tcW w:w="1583"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98.06%</w:t>
            </w:r>
          </w:p>
        </w:tc>
        <w:tc>
          <w:tcPr>
            <w:tcW w:w="1985"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98.10%</w:t>
            </w:r>
          </w:p>
        </w:tc>
      </w:tr>
      <w:tr>
        <w:tblPrEx>
          <w:tblCellMar>
            <w:top w:w="0" w:type="dxa"/>
            <w:left w:w="108" w:type="dxa"/>
            <w:bottom w:w="0" w:type="dxa"/>
            <w:right w:w="108" w:type="dxa"/>
          </w:tblCellMar>
        </w:tblPrEx>
        <w:trPr>
          <w:trHeight w:val="397" w:hRule="atLeast"/>
          <w:jc w:val="center"/>
        </w:trPr>
        <w:tc>
          <w:tcPr>
            <w:tcW w:w="4032" w:type="dxa"/>
            <w:tcBorders>
              <w:top w:val="nil"/>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阿德福韦酯口服常释剂型10mg</w:t>
            </w:r>
          </w:p>
        </w:tc>
        <w:tc>
          <w:tcPr>
            <w:tcW w:w="273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82650</w:t>
            </w:r>
          </w:p>
        </w:tc>
        <w:tc>
          <w:tcPr>
            <w:tcW w:w="1843"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74385.00</w:t>
            </w:r>
          </w:p>
        </w:tc>
        <w:tc>
          <w:tcPr>
            <w:tcW w:w="170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6.94%</w:t>
            </w:r>
          </w:p>
        </w:tc>
        <w:tc>
          <w:tcPr>
            <w:tcW w:w="1583"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100.00%</w:t>
            </w:r>
          </w:p>
        </w:tc>
        <w:tc>
          <w:tcPr>
            <w:tcW w:w="1985"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97.35%</w:t>
            </w:r>
          </w:p>
        </w:tc>
      </w:tr>
      <w:tr>
        <w:tblPrEx>
          <w:tblCellMar>
            <w:top w:w="0" w:type="dxa"/>
            <w:left w:w="108" w:type="dxa"/>
            <w:bottom w:w="0" w:type="dxa"/>
            <w:right w:w="108" w:type="dxa"/>
          </w:tblCellMar>
        </w:tblPrEx>
        <w:trPr>
          <w:trHeight w:val="397" w:hRule="atLeast"/>
          <w:jc w:val="center"/>
        </w:trPr>
        <w:tc>
          <w:tcPr>
            <w:tcW w:w="4032" w:type="dxa"/>
            <w:tcBorders>
              <w:top w:val="nil"/>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阿卡波糖口服常释剂型50mg</w:t>
            </w:r>
          </w:p>
        </w:tc>
        <w:tc>
          <w:tcPr>
            <w:tcW w:w="273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12955485</w:t>
            </w:r>
          </w:p>
        </w:tc>
        <w:tc>
          <w:tcPr>
            <w:tcW w:w="1843"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2340623.69</w:t>
            </w:r>
          </w:p>
        </w:tc>
        <w:tc>
          <w:tcPr>
            <w:tcW w:w="1701" w:type="dxa"/>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16.78%</w:t>
            </w:r>
          </w:p>
        </w:tc>
        <w:tc>
          <w:tcPr>
            <w:tcW w:w="1583" w:type="dxa"/>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88.85%</w:t>
            </w:r>
          </w:p>
        </w:tc>
        <w:tc>
          <w:tcPr>
            <w:tcW w:w="1985"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61.47%</w:t>
            </w:r>
          </w:p>
        </w:tc>
      </w:tr>
      <w:tr>
        <w:tblPrEx>
          <w:tblCellMar>
            <w:top w:w="0" w:type="dxa"/>
            <w:left w:w="108" w:type="dxa"/>
            <w:bottom w:w="0" w:type="dxa"/>
            <w:right w:w="108" w:type="dxa"/>
          </w:tblCellMar>
        </w:tblPrEx>
        <w:trPr>
          <w:trHeight w:val="397" w:hRule="atLeast"/>
          <w:jc w:val="center"/>
        </w:trPr>
        <w:tc>
          <w:tcPr>
            <w:tcW w:w="4032" w:type="dxa"/>
            <w:tcBorders>
              <w:top w:val="nil"/>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阿卡波糖口服常释剂型100mg</w:t>
            </w:r>
          </w:p>
        </w:tc>
        <w:tc>
          <w:tcPr>
            <w:tcW w:w="273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225000</w:t>
            </w:r>
          </w:p>
        </w:tc>
        <w:tc>
          <w:tcPr>
            <w:tcW w:w="1843"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69075.00</w:t>
            </w:r>
          </w:p>
        </w:tc>
        <w:tc>
          <w:tcPr>
            <w:tcW w:w="1701" w:type="dxa"/>
            <w:vMerge w:val="continue"/>
            <w:tcBorders>
              <w:top w:val="nil"/>
              <w:left w:val="single" w:color="auto" w:sz="4" w:space="0"/>
              <w:bottom w:val="single" w:color="auto" w:sz="4" w:space="0"/>
              <w:right w:val="single" w:color="auto" w:sz="4" w:space="0"/>
            </w:tcBorders>
            <w:vAlign w:val="center"/>
          </w:tcPr>
          <w:p>
            <w:pPr>
              <w:spacing w:line="360" w:lineRule="exact"/>
              <w:rPr>
                <w:rFonts w:cs="宋体" w:asciiTheme="minorEastAsia" w:hAnsiTheme="minorEastAsia" w:eastAsiaTheme="minorEastAsia"/>
                <w:color w:val="000000"/>
                <w:sz w:val="24"/>
                <w:szCs w:val="24"/>
              </w:rPr>
            </w:pPr>
          </w:p>
        </w:tc>
        <w:tc>
          <w:tcPr>
            <w:tcW w:w="1583" w:type="dxa"/>
            <w:vMerge w:val="continue"/>
            <w:tcBorders>
              <w:top w:val="nil"/>
              <w:left w:val="single" w:color="auto" w:sz="4" w:space="0"/>
              <w:bottom w:val="single" w:color="auto" w:sz="4" w:space="0"/>
              <w:right w:val="single" w:color="auto" w:sz="4" w:space="0"/>
            </w:tcBorders>
            <w:vAlign w:val="center"/>
          </w:tcPr>
          <w:p>
            <w:pPr>
              <w:spacing w:line="360" w:lineRule="exact"/>
              <w:rPr>
                <w:rFonts w:cs="宋体" w:asciiTheme="minorEastAsia" w:hAnsiTheme="minorEastAsia" w:eastAsiaTheme="minorEastAsia"/>
                <w:color w:val="000000"/>
                <w:sz w:val="24"/>
                <w:szCs w:val="24"/>
              </w:rPr>
            </w:pPr>
          </w:p>
        </w:tc>
        <w:tc>
          <w:tcPr>
            <w:tcW w:w="1985"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45.37%</w:t>
            </w:r>
          </w:p>
        </w:tc>
      </w:tr>
      <w:tr>
        <w:tblPrEx>
          <w:tblCellMar>
            <w:top w:w="0" w:type="dxa"/>
            <w:left w:w="108" w:type="dxa"/>
            <w:bottom w:w="0" w:type="dxa"/>
            <w:right w:w="108" w:type="dxa"/>
          </w:tblCellMar>
        </w:tblPrEx>
        <w:trPr>
          <w:trHeight w:val="397" w:hRule="atLeast"/>
          <w:jc w:val="center"/>
        </w:trPr>
        <w:tc>
          <w:tcPr>
            <w:tcW w:w="4032" w:type="dxa"/>
            <w:tcBorders>
              <w:top w:val="nil"/>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阿莫西林口服常释剂型0.25g</w:t>
            </w:r>
          </w:p>
        </w:tc>
        <w:tc>
          <w:tcPr>
            <w:tcW w:w="273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3159400</w:t>
            </w:r>
          </w:p>
        </w:tc>
        <w:tc>
          <w:tcPr>
            <w:tcW w:w="1843"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210100.10</w:t>
            </w:r>
          </w:p>
        </w:tc>
        <w:tc>
          <w:tcPr>
            <w:tcW w:w="1701" w:type="dxa"/>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11.03%</w:t>
            </w:r>
          </w:p>
        </w:tc>
        <w:tc>
          <w:tcPr>
            <w:tcW w:w="1583" w:type="dxa"/>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85.74%</w:t>
            </w:r>
          </w:p>
        </w:tc>
        <w:tc>
          <w:tcPr>
            <w:tcW w:w="1985"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59.98%</w:t>
            </w:r>
          </w:p>
        </w:tc>
      </w:tr>
      <w:tr>
        <w:tblPrEx>
          <w:tblCellMar>
            <w:top w:w="0" w:type="dxa"/>
            <w:left w:w="108" w:type="dxa"/>
            <w:bottom w:w="0" w:type="dxa"/>
            <w:right w:w="108" w:type="dxa"/>
          </w:tblCellMar>
        </w:tblPrEx>
        <w:trPr>
          <w:trHeight w:val="397" w:hRule="atLeast"/>
          <w:jc w:val="center"/>
        </w:trPr>
        <w:tc>
          <w:tcPr>
            <w:tcW w:w="4032" w:type="dxa"/>
            <w:tcBorders>
              <w:top w:val="nil"/>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阿莫西林口服常释剂型0.5g</w:t>
            </w:r>
          </w:p>
        </w:tc>
        <w:tc>
          <w:tcPr>
            <w:tcW w:w="273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644184</w:t>
            </w:r>
          </w:p>
        </w:tc>
        <w:tc>
          <w:tcPr>
            <w:tcW w:w="1843"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74081.16</w:t>
            </w:r>
          </w:p>
        </w:tc>
        <w:tc>
          <w:tcPr>
            <w:tcW w:w="1701" w:type="dxa"/>
            <w:vMerge w:val="continue"/>
            <w:tcBorders>
              <w:top w:val="nil"/>
              <w:left w:val="single" w:color="auto" w:sz="4" w:space="0"/>
              <w:bottom w:val="single" w:color="auto" w:sz="4" w:space="0"/>
              <w:right w:val="single" w:color="auto" w:sz="4" w:space="0"/>
            </w:tcBorders>
            <w:vAlign w:val="center"/>
          </w:tcPr>
          <w:p>
            <w:pPr>
              <w:spacing w:line="360" w:lineRule="exact"/>
              <w:rPr>
                <w:rFonts w:cs="宋体" w:asciiTheme="minorEastAsia" w:hAnsiTheme="minorEastAsia" w:eastAsiaTheme="minorEastAsia"/>
                <w:color w:val="000000"/>
                <w:sz w:val="24"/>
                <w:szCs w:val="24"/>
              </w:rPr>
            </w:pPr>
          </w:p>
        </w:tc>
        <w:tc>
          <w:tcPr>
            <w:tcW w:w="1583" w:type="dxa"/>
            <w:vMerge w:val="continue"/>
            <w:tcBorders>
              <w:top w:val="nil"/>
              <w:left w:val="single" w:color="auto" w:sz="4" w:space="0"/>
              <w:bottom w:val="single" w:color="auto" w:sz="4" w:space="0"/>
              <w:right w:val="single" w:color="auto" w:sz="4" w:space="0"/>
            </w:tcBorders>
            <w:vAlign w:val="center"/>
          </w:tcPr>
          <w:p>
            <w:pPr>
              <w:spacing w:line="360" w:lineRule="exact"/>
              <w:rPr>
                <w:rFonts w:cs="宋体" w:asciiTheme="minorEastAsia" w:hAnsiTheme="minorEastAsia" w:eastAsiaTheme="minorEastAsia"/>
                <w:color w:val="000000"/>
                <w:sz w:val="24"/>
                <w:szCs w:val="24"/>
              </w:rPr>
            </w:pPr>
          </w:p>
        </w:tc>
        <w:tc>
          <w:tcPr>
            <w:tcW w:w="1985"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60.51%</w:t>
            </w:r>
          </w:p>
        </w:tc>
      </w:tr>
      <w:tr>
        <w:tblPrEx>
          <w:tblCellMar>
            <w:top w:w="0" w:type="dxa"/>
            <w:left w:w="108" w:type="dxa"/>
            <w:bottom w:w="0" w:type="dxa"/>
            <w:right w:w="108" w:type="dxa"/>
          </w:tblCellMar>
        </w:tblPrEx>
        <w:trPr>
          <w:trHeight w:val="397" w:hRule="atLeast"/>
          <w:jc w:val="center"/>
        </w:trPr>
        <w:tc>
          <w:tcPr>
            <w:tcW w:w="4032" w:type="dxa"/>
            <w:tcBorders>
              <w:top w:val="nil"/>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阿奇霉素口服常释剂型0.25g</w:t>
            </w:r>
          </w:p>
        </w:tc>
        <w:tc>
          <w:tcPr>
            <w:tcW w:w="273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67914</w:t>
            </w:r>
          </w:p>
        </w:tc>
        <w:tc>
          <w:tcPr>
            <w:tcW w:w="1843"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71988.84</w:t>
            </w:r>
          </w:p>
        </w:tc>
        <w:tc>
          <w:tcPr>
            <w:tcW w:w="170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4.03%</w:t>
            </w:r>
          </w:p>
        </w:tc>
        <w:tc>
          <w:tcPr>
            <w:tcW w:w="1583"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82.09%</w:t>
            </w:r>
          </w:p>
        </w:tc>
        <w:tc>
          <w:tcPr>
            <w:tcW w:w="1985"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48.59%</w:t>
            </w:r>
          </w:p>
        </w:tc>
      </w:tr>
      <w:tr>
        <w:tblPrEx>
          <w:tblCellMar>
            <w:top w:w="0" w:type="dxa"/>
            <w:left w:w="108" w:type="dxa"/>
            <w:bottom w:w="0" w:type="dxa"/>
            <w:right w:w="108" w:type="dxa"/>
          </w:tblCellMar>
        </w:tblPrEx>
        <w:trPr>
          <w:trHeight w:val="397" w:hRule="atLeast"/>
          <w:jc w:val="center"/>
        </w:trPr>
        <w:tc>
          <w:tcPr>
            <w:tcW w:w="4032" w:type="dxa"/>
            <w:tcBorders>
              <w:top w:val="nil"/>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安立生坦片剂5mg</w:t>
            </w:r>
          </w:p>
        </w:tc>
        <w:tc>
          <w:tcPr>
            <w:tcW w:w="273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3270</w:t>
            </w:r>
          </w:p>
        </w:tc>
        <w:tc>
          <w:tcPr>
            <w:tcW w:w="1843"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65400.00</w:t>
            </w:r>
          </w:p>
        </w:tc>
        <w:tc>
          <w:tcPr>
            <w:tcW w:w="170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155.27%</w:t>
            </w:r>
          </w:p>
        </w:tc>
        <w:tc>
          <w:tcPr>
            <w:tcW w:w="1583"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79.95%</w:t>
            </w:r>
          </w:p>
        </w:tc>
        <w:tc>
          <w:tcPr>
            <w:tcW w:w="1985"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66.06%</w:t>
            </w:r>
          </w:p>
        </w:tc>
      </w:tr>
      <w:tr>
        <w:tblPrEx>
          <w:tblCellMar>
            <w:top w:w="0" w:type="dxa"/>
            <w:left w:w="108" w:type="dxa"/>
            <w:bottom w:w="0" w:type="dxa"/>
            <w:right w:w="108" w:type="dxa"/>
          </w:tblCellMar>
        </w:tblPrEx>
        <w:trPr>
          <w:trHeight w:val="397" w:hRule="atLeast"/>
          <w:jc w:val="center"/>
        </w:trPr>
        <w:tc>
          <w:tcPr>
            <w:tcW w:w="4032" w:type="dxa"/>
            <w:tcBorders>
              <w:top w:val="nil"/>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奥美沙坦酯口服常释剂型20mg</w:t>
            </w:r>
          </w:p>
        </w:tc>
        <w:tc>
          <w:tcPr>
            <w:tcW w:w="273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39452</w:t>
            </w:r>
          </w:p>
        </w:tc>
        <w:tc>
          <w:tcPr>
            <w:tcW w:w="1843"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24065.72</w:t>
            </w:r>
          </w:p>
        </w:tc>
        <w:tc>
          <w:tcPr>
            <w:tcW w:w="170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6.66%</w:t>
            </w:r>
          </w:p>
        </w:tc>
        <w:tc>
          <w:tcPr>
            <w:tcW w:w="1583"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98.24%</w:t>
            </w:r>
          </w:p>
        </w:tc>
        <w:tc>
          <w:tcPr>
            <w:tcW w:w="1985"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86.49%</w:t>
            </w:r>
          </w:p>
        </w:tc>
      </w:tr>
      <w:tr>
        <w:tblPrEx>
          <w:tblCellMar>
            <w:top w:w="0" w:type="dxa"/>
            <w:left w:w="108" w:type="dxa"/>
            <w:bottom w:w="0" w:type="dxa"/>
            <w:right w:w="108" w:type="dxa"/>
          </w:tblCellMar>
        </w:tblPrEx>
        <w:trPr>
          <w:trHeight w:val="397" w:hRule="atLeast"/>
          <w:jc w:val="center"/>
        </w:trPr>
        <w:tc>
          <w:tcPr>
            <w:tcW w:w="4032" w:type="dxa"/>
            <w:tcBorders>
              <w:top w:val="nil"/>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比索洛尔口服常释剂型2.5mg</w:t>
            </w:r>
          </w:p>
        </w:tc>
        <w:tc>
          <w:tcPr>
            <w:tcW w:w="273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31000</w:t>
            </w:r>
          </w:p>
        </w:tc>
        <w:tc>
          <w:tcPr>
            <w:tcW w:w="1843"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11563.00</w:t>
            </w:r>
          </w:p>
        </w:tc>
        <w:tc>
          <w:tcPr>
            <w:tcW w:w="1701" w:type="dxa"/>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22.19%</w:t>
            </w:r>
          </w:p>
        </w:tc>
        <w:tc>
          <w:tcPr>
            <w:tcW w:w="1583" w:type="dxa"/>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94.65%</w:t>
            </w:r>
          </w:p>
        </w:tc>
        <w:tc>
          <w:tcPr>
            <w:tcW w:w="1985"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83.78%</w:t>
            </w:r>
          </w:p>
        </w:tc>
      </w:tr>
      <w:tr>
        <w:tblPrEx>
          <w:tblCellMar>
            <w:top w:w="0" w:type="dxa"/>
            <w:left w:w="108" w:type="dxa"/>
            <w:bottom w:w="0" w:type="dxa"/>
            <w:right w:w="108" w:type="dxa"/>
          </w:tblCellMar>
        </w:tblPrEx>
        <w:trPr>
          <w:trHeight w:val="397" w:hRule="atLeast"/>
          <w:jc w:val="center"/>
        </w:trPr>
        <w:tc>
          <w:tcPr>
            <w:tcW w:w="4032" w:type="dxa"/>
            <w:tcBorders>
              <w:top w:val="nil"/>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比索洛尔口服常释剂型5mg</w:t>
            </w:r>
          </w:p>
        </w:tc>
        <w:tc>
          <w:tcPr>
            <w:tcW w:w="273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540590</w:t>
            </w:r>
          </w:p>
        </w:tc>
        <w:tc>
          <w:tcPr>
            <w:tcW w:w="1843"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342734.06</w:t>
            </w:r>
          </w:p>
        </w:tc>
        <w:tc>
          <w:tcPr>
            <w:tcW w:w="1701" w:type="dxa"/>
            <w:vMerge w:val="continue"/>
            <w:tcBorders>
              <w:top w:val="nil"/>
              <w:left w:val="single" w:color="auto" w:sz="4" w:space="0"/>
              <w:bottom w:val="single" w:color="auto" w:sz="4" w:space="0"/>
              <w:right w:val="single" w:color="auto" w:sz="4" w:space="0"/>
            </w:tcBorders>
            <w:vAlign w:val="center"/>
          </w:tcPr>
          <w:p>
            <w:pPr>
              <w:spacing w:line="360" w:lineRule="exact"/>
              <w:rPr>
                <w:rFonts w:cs="宋体" w:asciiTheme="minorEastAsia" w:hAnsiTheme="minorEastAsia" w:eastAsiaTheme="minorEastAsia"/>
                <w:color w:val="000000"/>
                <w:sz w:val="24"/>
                <w:szCs w:val="24"/>
              </w:rPr>
            </w:pPr>
          </w:p>
        </w:tc>
        <w:tc>
          <w:tcPr>
            <w:tcW w:w="1583" w:type="dxa"/>
            <w:vMerge w:val="continue"/>
            <w:tcBorders>
              <w:top w:val="nil"/>
              <w:left w:val="single" w:color="auto" w:sz="4" w:space="0"/>
              <w:bottom w:val="single" w:color="auto" w:sz="4" w:space="0"/>
              <w:right w:val="single" w:color="auto" w:sz="4" w:space="0"/>
            </w:tcBorders>
            <w:vAlign w:val="center"/>
          </w:tcPr>
          <w:p>
            <w:pPr>
              <w:spacing w:line="360" w:lineRule="exact"/>
              <w:rPr>
                <w:rFonts w:cs="宋体" w:asciiTheme="minorEastAsia" w:hAnsiTheme="minorEastAsia" w:eastAsiaTheme="minorEastAsia"/>
                <w:color w:val="000000"/>
                <w:sz w:val="24"/>
                <w:szCs w:val="24"/>
              </w:rPr>
            </w:pPr>
          </w:p>
        </w:tc>
        <w:tc>
          <w:tcPr>
            <w:tcW w:w="1985"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99.99%</w:t>
            </w:r>
          </w:p>
        </w:tc>
      </w:tr>
      <w:tr>
        <w:tblPrEx>
          <w:tblCellMar>
            <w:top w:w="0" w:type="dxa"/>
            <w:left w:w="108" w:type="dxa"/>
            <w:bottom w:w="0" w:type="dxa"/>
            <w:right w:w="108" w:type="dxa"/>
          </w:tblCellMar>
        </w:tblPrEx>
        <w:trPr>
          <w:trHeight w:val="397" w:hRule="atLeast"/>
          <w:jc w:val="center"/>
        </w:trPr>
        <w:tc>
          <w:tcPr>
            <w:tcW w:w="4032" w:type="dxa"/>
            <w:tcBorders>
              <w:top w:val="nil"/>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对乙酰氨基酚口服常释剂型0.5g</w:t>
            </w:r>
          </w:p>
        </w:tc>
        <w:tc>
          <w:tcPr>
            <w:tcW w:w="273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63500</w:t>
            </w:r>
          </w:p>
        </w:tc>
        <w:tc>
          <w:tcPr>
            <w:tcW w:w="1843"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3549.65</w:t>
            </w:r>
          </w:p>
        </w:tc>
        <w:tc>
          <w:tcPr>
            <w:tcW w:w="170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9.44%</w:t>
            </w:r>
          </w:p>
        </w:tc>
        <w:tc>
          <w:tcPr>
            <w:tcW w:w="1583"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100.00%</w:t>
            </w:r>
          </w:p>
        </w:tc>
        <w:tc>
          <w:tcPr>
            <w:tcW w:w="1985"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94.35%</w:t>
            </w:r>
          </w:p>
        </w:tc>
      </w:tr>
      <w:tr>
        <w:tblPrEx>
          <w:tblCellMar>
            <w:top w:w="0" w:type="dxa"/>
            <w:left w:w="108" w:type="dxa"/>
            <w:bottom w:w="0" w:type="dxa"/>
            <w:right w:w="108" w:type="dxa"/>
          </w:tblCellMar>
        </w:tblPrEx>
        <w:trPr>
          <w:trHeight w:val="397" w:hRule="atLeast"/>
          <w:jc w:val="center"/>
        </w:trPr>
        <w:tc>
          <w:tcPr>
            <w:tcW w:w="4032" w:type="dxa"/>
            <w:tcBorders>
              <w:top w:val="nil"/>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多奈哌齐口服常释剂型5mg</w:t>
            </w:r>
          </w:p>
        </w:tc>
        <w:tc>
          <w:tcPr>
            <w:tcW w:w="273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111853</w:t>
            </w:r>
          </w:p>
        </w:tc>
        <w:tc>
          <w:tcPr>
            <w:tcW w:w="1843"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127192.84</w:t>
            </w:r>
          </w:p>
        </w:tc>
        <w:tc>
          <w:tcPr>
            <w:tcW w:w="170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21.01%</w:t>
            </w:r>
          </w:p>
        </w:tc>
        <w:tc>
          <w:tcPr>
            <w:tcW w:w="1583"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90.86%</w:t>
            </w:r>
          </w:p>
        </w:tc>
        <w:tc>
          <w:tcPr>
            <w:tcW w:w="1985"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95.33%</w:t>
            </w:r>
          </w:p>
        </w:tc>
      </w:tr>
      <w:tr>
        <w:tblPrEx>
          <w:tblCellMar>
            <w:top w:w="0" w:type="dxa"/>
            <w:left w:w="108" w:type="dxa"/>
            <w:bottom w:w="0" w:type="dxa"/>
            <w:right w:w="108" w:type="dxa"/>
          </w:tblCellMar>
        </w:tblPrEx>
        <w:trPr>
          <w:trHeight w:val="397" w:hRule="atLeast"/>
          <w:jc w:val="center"/>
        </w:trPr>
        <w:tc>
          <w:tcPr>
            <w:tcW w:w="4032" w:type="dxa"/>
            <w:tcBorders>
              <w:top w:val="nil"/>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氟康唑口服常释剂型50mg</w:t>
            </w:r>
          </w:p>
        </w:tc>
        <w:tc>
          <w:tcPr>
            <w:tcW w:w="273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137460</w:t>
            </w:r>
          </w:p>
        </w:tc>
        <w:tc>
          <w:tcPr>
            <w:tcW w:w="1843"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38717.90</w:t>
            </w:r>
          </w:p>
        </w:tc>
        <w:tc>
          <w:tcPr>
            <w:tcW w:w="170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15.28%</w:t>
            </w:r>
          </w:p>
        </w:tc>
        <w:tc>
          <w:tcPr>
            <w:tcW w:w="1583"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96.07%</w:t>
            </w:r>
          </w:p>
        </w:tc>
        <w:tc>
          <w:tcPr>
            <w:tcW w:w="1985"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99.94%</w:t>
            </w:r>
          </w:p>
        </w:tc>
      </w:tr>
      <w:tr>
        <w:tblPrEx>
          <w:tblCellMar>
            <w:top w:w="0" w:type="dxa"/>
            <w:left w:w="108" w:type="dxa"/>
            <w:bottom w:w="0" w:type="dxa"/>
            <w:right w:w="108" w:type="dxa"/>
          </w:tblCellMar>
        </w:tblPrEx>
        <w:trPr>
          <w:trHeight w:val="397" w:hRule="atLeast"/>
          <w:jc w:val="center"/>
        </w:trPr>
        <w:tc>
          <w:tcPr>
            <w:tcW w:w="4032" w:type="dxa"/>
            <w:tcBorders>
              <w:top w:val="nil"/>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福多司坦口服常释剂型0.2g</w:t>
            </w:r>
          </w:p>
        </w:tc>
        <w:tc>
          <w:tcPr>
            <w:tcW w:w="273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303948</w:t>
            </w:r>
          </w:p>
        </w:tc>
        <w:tc>
          <w:tcPr>
            <w:tcW w:w="1843"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191472.90</w:t>
            </w:r>
          </w:p>
        </w:tc>
        <w:tc>
          <w:tcPr>
            <w:tcW w:w="170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9.35%</w:t>
            </w:r>
          </w:p>
        </w:tc>
        <w:tc>
          <w:tcPr>
            <w:tcW w:w="1583"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100.00%</w:t>
            </w:r>
          </w:p>
        </w:tc>
        <w:tc>
          <w:tcPr>
            <w:tcW w:w="1985"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98.60%</w:t>
            </w:r>
          </w:p>
        </w:tc>
      </w:tr>
      <w:tr>
        <w:tblPrEx>
          <w:tblCellMar>
            <w:top w:w="0" w:type="dxa"/>
            <w:left w:w="108" w:type="dxa"/>
            <w:bottom w:w="0" w:type="dxa"/>
            <w:right w:w="108" w:type="dxa"/>
          </w:tblCellMar>
        </w:tblPrEx>
        <w:trPr>
          <w:trHeight w:val="397" w:hRule="atLeast"/>
          <w:jc w:val="center"/>
        </w:trPr>
        <w:tc>
          <w:tcPr>
            <w:tcW w:w="4032" w:type="dxa"/>
            <w:tcBorders>
              <w:top w:val="nil"/>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格列美脲口服常释剂型2mg</w:t>
            </w:r>
          </w:p>
        </w:tc>
        <w:tc>
          <w:tcPr>
            <w:tcW w:w="273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2406180</w:t>
            </w:r>
          </w:p>
        </w:tc>
        <w:tc>
          <w:tcPr>
            <w:tcW w:w="1843"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186077.92</w:t>
            </w:r>
          </w:p>
        </w:tc>
        <w:tc>
          <w:tcPr>
            <w:tcW w:w="170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11.02%</w:t>
            </w:r>
          </w:p>
        </w:tc>
        <w:tc>
          <w:tcPr>
            <w:tcW w:w="1583"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96.51%</w:t>
            </w:r>
          </w:p>
        </w:tc>
        <w:tc>
          <w:tcPr>
            <w:tcW w:w="1985"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95.45%</w:t>
            </w:r>
          </w:p>
        </w:tc>
      </w:tr>
      <w:tr>
        <w:tblPrEx>
          <w:tblCellMar>
            <w:top w:w="0" w:type="dxa"/>
            <w:left w:w="108" w:type="dxa"/>
            <w:bottom w:w="0" w:type="dxa"/>
            <w:right w:w="108" w:type="dxa"/>
          </w:tblCellMar>
        </w:tblPrEx>
        <w:trPr>
          <w:trHeight w:val="397" w:hRule="atLeast"/>
          <w:jc w:val="center"/>
        </w:trPr>
        <w:tc>
          <w:tcPr>
            <w:tcW w:w="4032" w:type="dxa"/>
            <w:tcBorders>
              <w:top w:val="nil"/>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甲硝唑口服常释剂型0.2g</w:t>
            </w:r>
          </w:p>
        </w:tc>
        <w:tc>
          <w:tcPr>
            <w:tcW w:w="273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1314300</w:t>
            </w:r>
          </w:p>
        </w:tc>
        <w:tc>
          <w:tcPr>
            <w:tcW w:w="1843"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66635.01</w:t>
            </w:r>
          </w:p>
        </w:tc>
        <w:tc>
          <w:tcPr>
            <w:tcW w:w="170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17.79%</w:t>
            </w:r>
          </w:p>
        </w:tc>
        <w:tc>
          <w:tcPr>
            <w:tcW w:w="1583"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99.92%</w:t>
            </w:r>
          </w:p>
        </w:tc>
        <w:tc>
          <w:tcPr>
            <w:tcW w:w="1985"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97.12%</w:t>
            </w:r>
          </w:p>
        </w:tc>
      </w:tr>
      <w:tr>
        <w:tblPrEx>
          <w:tblCellMar>
            <w:top w:w="0" w:type="dxa"/>
            <w:left w:w="108" w:type="dxa"/>
            <w:bottom w:w="0" w:type="dxa"/>
            <w:right w:w="108" w:type="dxa"/>
          </w:tblCellMar>
        </w:tblPrEx>
        <w:trPr>
          <w:trHeight w:val="397" w:hRule="atLeast"/>
          <w:jc w:val="center"/>
        </w:trPr>
        <w:tc>
          <w:tcPr>
            <w:tcW w:w="4032" w:type="dxa"/>
            <w:tcBorders>
              <w:top w:val="nil"/>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聚乙二醇口服散剂10g</w:t>
            </w:r>
          </w:p>
        </w:tc>
        <w:tc>
          <w:tcPr>
            <w:tcW w:w="273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23160</w:t>
            </w:r>
          </w:p>
        </w:tc>
        <w:tc>
          <w:tcPr>
            <w:tcW w:w="1843"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27390.56</w:t>
            </w:r>
          </w:p>
        </w:tc>
        <w:tc>
          <w:tcPr>
            <w:tcW w:w="170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8.28%</w:t>
            </w:r>
          </w:p>
        </w:tc>
        <w:tc>
          <w:tcPr>
            <w:tcW w:w="1583"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100.00%</w:t>
            </w:r>
          </w:p>
        </w:tc>
        <w:tc>
          <w:tcPr>
            <w:tcW w:w="1985"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98.94%</w:t>
            </w:r>
          </w:p>
        </w:tc>
      </w:tr>
      <w:tr>
        <w:tblPrEx>
          <w:tblCellMar>
            <w:top w:w="0" w:type="dxa"/>
            <w:left w:w="108" w:type="dxa"/>
            <w:bottom w:w="0" w:type="dxa"/>
            <w:right w:w="108" w:type="dxa"/>
          </w:tblCellMar>
        </w:tblPrEx>
        <w:trPr>
          <w:trHeight w:val="397" w:hRule="atLeast"/>
          <w:jc w:val="center"/>
        </w:trPr>
        <w:tc>
          <w:tcPr>
            <w:tcW w:w="4032" w:type="dxa"/>
            <w:tcBorders>
              <w:top w:val="nil"/>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坎地沙坦酯口服常释剂型4mg</w:t>
            </w:r>
          </w:p>
        </w:tc>
        <w:tc>
          <w:tcPr>
            <w:tcW w:w="273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877198</w:t>
            </w:r>
          </w:p>
        </w:tc>
        <w:tc>
          <w:tcPr>
            <w:tcW w:w="1843"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238096.60</w:t>
            </w:r>
          </w:p>
        </w:tc>
        <w:tc>
          <w:tcPr>
            <w:tcW w:w="170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17.29%</w:t>
            </w:r>
          </w:p>
        </w:tc>
        <w:tc>
          <w:tcPr>
            <w:tcW w:w="1583"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97.34%</w:t>
            </w:r>
          </w:p>
        </w:tc>
        <w:tc>
          <w:tcPr>
            <w:tcW w:w="1985"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99.90%</w:t>
            </w:r>
          </w:p>
        </w:tc>
      </w:tr>
      <w:tr>
        <w:tblPrEx>
          <w:tblCellMar>
            <w:top w:w="0" w:type="dxa"/>
            <w:left w:w="108" w:type="dxa"/>
            <w:bottom w:w="0" w:type="dxa"/>
            <w:right w:w="108" w:type="dxa"/>
          </w:tblCellMar>
        </w:tblPrEx>
        <w:trPr>
          <w:trHeight w:val="397" w:hRule="atLeast"/>
          <w:jc w:val="center"/>
        </w:trPr>
        <w:tc>
          <w:tcPr>
            <w:tcW w:w="4032" w:type="dxa"/>
            <w:tcBorders>
              <w:top w:val="nil"/>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克林霉素口服常释剂型0.15g</w:t>
            </w:r>
          </w:p>
        </w:tc>
        <w:tc>
          <w:tcPr>
            <w:tcW w:w="273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50604</w:t>
            </w:r>
          </w:p>
        </w:tc>
        <w:tc>
          <w:tcPr>
            <w:tcW w:w="1843"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5060.40</w:t>
            </w:r>
          </w:p>
        </w:tc>
        <w:tc>
          <w:tcPr>
            <w:tcW w:w="170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14.60%</w:t>
            </w:r>
          </w:p>
        </w:tc>
        <w:tc>
          <w:tcPr>
            <w:tcW w:w="1583"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93.63%</w:t>
            </w:r>
          </w:p>
        </w:tc>
        <w:tc>
          <w:tcPr>
            <w:tcW w:w="1985"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84.53%</w:t>
            </w:r>
          </w:p>
        </w:tc>
      </w:tr>
      <w:tr>
        <w:tblPrEx>
          <w:tblCellMar>
            <w:top w:w="0" w:type="dxa"/>
            <w:left w:w="108" w:type="dxa"/>
            <w:bottom w:w="0" w:type="dxa"/>
            <w:right w:w="108" w:type="dxa"/>
          </w:tblCellMar>
        </w:tblPrEx>
        <w:trPr>
          <w:trHeight w:val="397" w:hRule="atLeast"/>
          <w:jc w:val="center"/>
        </w:trPr>
        <w:tc>
          <w:tcPr>
            <w:tcW w:w="4032" w:type="dxa"/>
            <w:tcBorders>
              <w:top w:val="nil"/>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铝碳酸镁咀嚼片0.5g</w:t>
            </w:r>
          </w:p>
        </w:tc>
        <w:tc>
          <w:tcPr>
            <w:tcW w:w="273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572592</w:t>
            </w:r>
          </w:p>
        </w:tc>
        <w:tc>
          <w:tcPr>
            <w:tcW w:w="1843"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148873.92</w:t>
            </w:r>
          </w:p>
        </w:tc>
        <w:tc>
          <w:tcPr>
            <w:tcW w:w="170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28.62%</w:t>
            </w:r>
          </w:p>
        </w:tc>
        <w:tc>
          <w:tcPr>
            <w:tcW w:w="1583"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99.72%</w:t>
            </w:r>
          </w:p>
        </w:tc>
        <w:tc>
          <w:tcPr>
            <w:tcW w:w="1985"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99.29%</w:t>
            </w:r>
          </w:p>
        </w:tc>
      </w:tr>
      <w:tr>
        <w:tblPrEx>
          <w:tblCellMar>
            <w:top w:w="0" w:type="dxa"/>
            <w:left w:w="108" w:type="dxa"/>
            <w:bottom w:w="0" w:type="dxa"/>
            <w:right w:w="108" w:type="dxa"/>
          </w:tblCellMar>
        </w:tblPrEx>
        <w:trPr>
          <w:trHeight w:val="397" w:hRule="atLeast"/>
          <w:jc w:val="center"/>
        </w:trPr>
        <w:tc>
          <w:tcPr>
            <w:tcW w:w="4032" w:type="dxa"/>
            <w:tcBorders>
              <w:top w:val="nil"/>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美洛昔康口服常释剂型7.5mg</w:t>
            </w:r>
          </w:p>
        </w:tc>
        <w:tc>
          <w:tcPr>
            <w:tcW w:w="273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185400</w:t>
            </w:r>
          </w:p>
        </w:tc>
        <w:tc>
          <w:tcPr>
            <w:tcW w:w="1843"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49779.90</w:t>
            </w:r>
          </w:p>
        </w:tc>
        <w:tc>
          <w:tcPr>
            <w:tcW w:w="170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21.36%</w:t>
            </w:r>
          </w:p>
        </w:tc>
        <w:tc>
          <w:tcPr>
            <w:tcW w:w="1583"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100.00%</w:t>
            </w:r>
          </w:p>
        </w:tc>
        <w:tc>
          <w:tcPr>
            <w:tcW w:w="1985"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85.18%</w:t>
            </w:r>
          </w:p>
        </w:tc>
      </w:tr>
      <w:tr>
        <w:tblPrEx>
          <w:tblCellMar>
            <w:top w:w="0" w:type="dxa"/>
            <w:left w:w="108" w:type="dxa"/>
            <w:bottom w:w="0" w:type="dxa"/>
            <w:right w:w="108" w:type="dxa"/>
          </w:tblCellMar>
        </w:tblPrEx>
        <w:trPr>
          <w:trHeight w:val="397" w:hRule="atLeast"/>
          <w:jc w:val="center"/>
        </w:trPr>
        <w:tc>
          <w:tcPr>
            <w:tcW w:w="4032" w:type="dxa"/>
            <w:tcBorders>
              <w:top w:val="nil"/>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莫西沙星口服常释剂型0.4g</w:t>
            </w:r>
          </w:p>
        </w:tc>
        <w:tc>
          <w:tcPr>
            <w:tcW w:w="273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76449</w:t>
            </w:r>
          </w:p>
        </w:tc>
        <w:tc>
          <w:tcPr>
            <w:tcW w:w="1843"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169231.68</w:t>
            </w:r>
          </w:p>
        </w:tc>
        <w:tc>
          <w:tcPr>
            <w:tcW w:w="170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21.14%</w:t>
            </w:r>
          </w:p>
        </w:tc>
        <w:tc>
          <w:tcPr>
            <w:tcW w:w="1583"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88.05%</w:t>
            </w:r>
          </w:p>
        </w:tc>
        <w:tc>
          <w:tcPr>
            <w:tcW w:w="1985"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98.45%</w:t>
            </w:r>
          </w:p>
        </w:tc>
      </w:tr>
      <w:tr>
        <w:tblPrEx>
          <w:tblCellMar>
            <w:top w:w="0" w:type="dxa"/>
            <w:left w:w="108" w:type="dxa"/>
            <w:bottom w:w="0" w:type="dxa"/>
            <w:right w:w="108" w:type="dxa"/>
          </w:tblCellMar>
        </w:tblPrEx>
        <w:trPr>
          <w:trHeight w:val="397" w:hRule="atLeast"/>
          <w:jc w:val="center"/>
        </w:trPr>
        <w:tc>
          <w:tcPr>
            <w:tcW w:w="4032" w:type="dxa"/>
            <w:tcBorders>
              <w:top w:val="nil"/>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曲美他嗪缓释控释剂型35mg</w:t>
            </w:r>
          </w:p>
        </w:tc>
        <w:tc>
          <w:tcPr>
            <w:tcW w:w="273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385140</w:t>
            </w:r>
          </w:p>
        </w:tc>
        <w:tc>
          <w:tcPr>
            <w:tcW w:w="1843"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180245.52</w:t>
            </w:r>
          </w:p>
        </w:tc>
        <w:tc>
          <w:tcPr>
            <w:tcW w:w="170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13.38%</w:t>
            </w:r>
          </w:p>
        </w:tc>
        <w:tc>
          <w:tcPr>
            <w:tcW w:w="1583"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99.89%</w:t>
            </w:r>
          </w:p>
        </w:tc>
        <w:tc>
          <w:tcPr>
            <w:tcW w:w="1985"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98.99%</w:t>
            </w:r>
          </w:p>
        </w:tc>
      </w:tr>
      <w:tr>
        <w:tblPrEx>
          <w:tblCellMar>
            <w:top w:w="0" w:type="dxa"/>
            <w:left w:w="108" w:type="dxa"/>
            <w:bottom w:w="0" w:type="dxa"/>
            <w:right w:w="108" w:type="dxa"/>
          </w:tblCellMar>
        </w:tblPrEx>
        <w:trPr>
          <w:trHeight w:val="397" w:hRule="atLeast"/>
          <w:jc w:val="center"/>
        </w:trPr>
        <w:tc>
          <w:tcPr>
            <w:tcW w:w="4032" w:type="dxa"/>
            <w:tcBorders>
              <w:top w:val="nil"/>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索利那新口服常释剂型5mg</w:t>
            </w:r>
          </w:p>
        </w:tc>
        <w:tc>
          <w:tcPr>
            <w:tcW w:w="273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6870</w:t>
            </w:r>
          </w:p>
        </w:tc>
        <w:tc>
          <w:tcPr>
            <w:tcW w:w="1843"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22780.92</w:t>
            </w:r>
          </w:p>
        </w:tc>
        <w:tc>
          <w:tcPr>
            <w:tcW w:w="170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31.33%</w:t>
            </w:r>
          </w:p>
        </w:tc>
        <w:tc>
          <w:tcPr>
            <w:tcW w:w="1583"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100.00%</w:t>
            </w:r>
          </w:p>
        </w:tc>
        <w:tc>
          <w:tcPr>
            <w:tcW w:w="1985"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78.87%</w:t>
            </w:r>
          </w:p>
        </w:tc>
      </w:tr>
      <w:tr>
        <w:tblPrEx>
          <w:tblCellMar>
            <w:top w:w="0" w:type="dxa"/>
            <w:left w:w="108" w:type="dxa"/>
            <w:bottom w:w="0" w:type="dxa"/>
            <w:right w:w="108" w:type="dxa"/>
          </w:tblCellMar>
        </w:tblPrEx>
        <w:trPr>
          <w:trHeight w:val="397" w:hRule="atLeast"/>
          <w:jc w:val="center"/>
        </w:trPr>
        <w:tc>
          <w:tcPr>
            <w:tcW w:w="4032" w:type="dxa"/>
            <w:tcBorders>
              <w:top w:val="nil"/>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他达拉非片剂20mg</w:t>
            </w:r>
          </w:p>
        </w:tc>
        <w:tc>
          <w:tcPr>
            <w:tcW w:w="273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9404</w:t>
            </w:r>
          </w:p>
        </w:tc>
        <w:tc>
          <w:tcPr>
            <w:tcW w:w="1843"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442283.43</w:t>
            </w:r>
          </w:p>
        </w:tc>
        <w:tc>
          <w:tcPr>
            <w:tcW w:w="170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66.12%</w:t>
            </w:r>
          </w:p>
        </w:tc>
        <w:tc>
          <w:tcPr>
            <w:tcW w:w="1583"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99.29%</w:t>
            </w:r>
          </w:p>
        </w:tc>
        <w:tc>
          <w:tcPr>
            <w:tcW w:w="1985"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99.85%</w:t>
            </w:r>
          </w:p>
        </w:tc>
      </w:tr>
      <w:tr>
        <w:tblPrEx>
          <w:tblCellMar>
            <w:top w:w="0" w:type="dxa"/>
            <w:left w:w="108" w:type="dxa"/>
            <w:bottom w:w="0" w:type="dxa"/>
            <w:right w:w="108" w:type="dxa"/>
          </w:tblCellMar>
        </w:tblPrEx>
        <w:trPr>
          <w:trHeight w:val="397" w:hRule="atLeast"/>
          <w:jc w:val="center"/>
        </w:trPr>
        <w:tc>
          <w:tcPr>
            <w:tcW w:w="4032" w:type="dxa"/>
            <w:tcBorders>
              <w:top w:val="nil"/>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特拉唑嗪口服常释剂型2mg</w:t>
            </w:r>
          </w:p>
        </w:tc>
        <w:tc>
          <w:tcPr>
            <w:tcW w:w="273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392994</w:t>
            </w:r>
          </w:p>
        </w:tc>
        <w:tc>
          <w:tcPr>
            <w:tcW w:w="1843"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190040.67</w:t>
            </w:r>
          </w:p>
        </w:tc>
        <w:tc>
          <w:tcPr>
            <w:tcW w:w="170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20.89%</w:t>
            </w:r>
          </w:p>
        </w:tc>
        <w:tc>
          <w:tcPr>
            <w:tcW w:w="1583"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96.96%</w:t>
            </w:r>
          </w:p>
        </w:tc>
        <w:tc>
          <w:tcPr>
            <w:tcW w:w="1985"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99.96%</w:t>
            </w:r>
          </w:p>
        </w:tc>
      </w:tr>
      <w:tr>
        <w:tblPrEx>
          <w:tblCellMar>
            <w:top w:w="0" w:type="dxa"/>
            <w:left w:w="108" w:type="dxa"/>
            <w:bottom w:w="0" w:type="dxa"/>
            <w:right w:w="108" w:type="dxa"/>
          </w:tblCellMar>
        </w:tblPrEx>
        <w:trPr>
          <w:trHeight w:val="397" w:hRule="atLeast"/>
          <w:jc w:val="center"/>
        </w:trPr>
        <w:tc>
          <w:tcPr>
            <w:tcW w:w="4032" w:type="dxa"/>
            <w:tcBorders>
              <w:top w:val="nil"/>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替吉奥口服常释剂型20mg</w:t>
            </w:r>
          </w:p>
        </w:tc>
        <w:tc>
          <w:tcPr>
            <w:tcW w:w="273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69328</w:t>
            </w:r>
          </w:p>
        </w:tc>
        <w:tc>
          <w:tcPr>
            <w:tcW w:w="1843"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541253.60</w:t>
            </w:r>
          </w:p>
        </w:tc>
        <w:tc>
          <w:tcPr>
            <w:tcW w:w="1701" w:type="dxa"/>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19.34%</w:t>
            </w:r>
          </w:p>
        </w:tc>
        <w:tc>
          <w:tcPr>
            <w:tcW w:w="1583" w:type="dxa"/>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97.25%</w:t>
            </w:r>
          </w:p>
        </w:tc>
        <w:tc>
          <w:tcPr>
            <w:tcW w:w="1985"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98.21%</w:t>
            </w:r>
          </w:p>
        </w:tc>
      </w:tr>
      <w:tr>
        <w:tblPrEx>
          <w:tblCellMar>
            <w:top w:w="0" w:type="dxa"/>
            <w:left w:w="108" w:type="dxa"/>
            <w:bottom w:w="0" w:type="dxa"/>
            <w:right w:w="108" w:type="dxa"/>
          </w:tblCellMar>
        </w:tblPrEx>
        <w:trPr>
          <w:trHeight w:val="397" w:hRule="atLeast"/>
          <w:jc w:val="center"/>
        </w:trPr>
        <w:tc>
          <w:tcPr>
            <w:tcW w:w="4032" w:type="dxa"/>
            <w:tcBorders>
              <w:top w:val="nil"/>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替吉奥口服常释剂型25mg</w:t>
            </w:r>
          </w:p>
        </w:tc>
        <w:tc>
          <w:tcPr>
            <w:tcW w:w="273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65856</w:t>
            </w:r>
          </w:p>
        </w:tc>
        <w:tc>
          <w:tcPr>
            <w:tcW w:w="1843"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609920.64</w:t>
            </w:r>
          </w:p>
        </w:tc>
        <w:tc>
          <w:tcPr>
            <w:tcW w:w="1701" w:type="dxa"/>
            <w:vMerge w:val="continue"/>
            <w:tcBorders>
              <w:top w:val="nil"/>
              <w:left w:val="single" w:color="auto" w:sz="4" w:space="0"/>
              <w:bottom w:val="single" w:color="auto" w:sz="4" w:space="0"/>
              <w:right w:val="single" w:color="auto" w:sz="4" w:space="0"/>
            </w:tcBorders>
            <w:vAlign w:val="center"/>
          </w:tcPr>
          <w:p>
            <w:pPr>
              <w:spacing w:line="360" w:lineRule="exact"/>
              <w:rPr>
                <w:rFonts w:cs="宋体" w:asciiTheme="minorEastAsia" w:hAnsiTheme="minorEastAsia" w:eastAsiaTheme="minorEastAsia"/>
                <w:color w:val="000000"/>
                <w:sz w:val="24"/>
                <w:szCs w:val="24"/>
              </w:rPr>
            </w:pPr>
          </w:p>
        </w:tc>
        <w:tc>
          <w:tcPr>
            <w:tcW w:w="1583" w:type="dxa"/>
            <w:vMerge w:val="continue"/>
            <w:tcBorders>
              <w:top w:val="nil"/>
              <w:left w:val="single" w:color="auto" w:sz="4" w:space="0"/>
              <w:bottom w:val="single" w:color="auto" w:sz="4" w:space="0"/>
              <w:right w:val="single" w:color="auto" w:sz="4" w:space="0"/>
            </w:tcBorders>
            <w:vAlign w:val="center"/>
          </w:tcPr>
          <w:p>
            <w:pPr>
              <w:spacing w:line="360" w:lineRule="exact"/>
              <w:rPr>
                <w:rFonts w:cs="宋体" w:asciiTheme="minorEastAsia" w:hAnsiTheme="minorEastAsia" w:eastAsiaTheme="minorEastAsia"/>
                <w:color w:val="000000"/>
                <w:sz w:val="24"/>
                <w:szCs w:val="24"/>
              </w:rPr>
            </w:pPr>
          </w:p>
        </w:tc>
        <w:tc>
          <w:tcPr>
            <w:tcW w:w="1985"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99.66%</w:t>
            </w:r>
          </w:p>
        </w:tc>
      </w:tr>
      <w:tr>
        <w:tblPrEx>
          <w:tblCellMar>
            <w:top w:w="0" w:type="dxa"/>
            <w:left w:w="108" w:type="dxa"/>
            <w:bottom w:w="0" w:type="dxa"/>
            <w:right w:w="108" w:type="dxa"/>
          </w:tblCellMar>
        </w:tblPrEx>
        <w:trPr>
          <w:trHeight w:val="397" w:hRule="atLeast"/>
          <w:jc w:val="center"/>
        </w:trPr>
        <w:tc>
          <w:tcPr>
            <w:tcW w:w="4032" w:type="dxa"/>
            <w:tcBorders>
              <w:top w:val="nil"/>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头孢拉定口服常释剂型0.25g</w:t>
            </w:r>
          </w:p>
        </w:tc>
        <w:tc>
          <w:tcPr>
            <w:tcW w:w="273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415560</w:t>
            </w:r>
          </w:p>
        </w:tc>
        <w:tc>
          <w:tcPr>
            <w:tcW w:w="1843"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49590.16</w:t>
            </w:r>
          </w:p>
        </w:tc>
        <w:tc>
          <w:tcPr>
            <w:tcW w:w="170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11.23%</w:t>
            </w:r>
          </w:p>
        </w:tc>
        <w:tc>
          <w:tcPr>
            <w:tcW w:w="1583"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81.09%</w:t>
            </w:r>
          </w:p>
        </w:tc>
        <w:tc>
          <w:tcPr>
            <w:tcW w:w="1985"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97.95%</w:t>
            </w:r>
          </w:p>
        </w:tc>
      </w:tr>
      <w:tr>
        <w:tblPrEx>
          <w:tblCellMar>
            <w:top w:w="0" w:type="dxa"/>
            <w:left w:w="108" w:type="dxa"/>
            <w:bottom w:w="0" w:type="dxa"/>
            <w:right w:w="108" w:type="dxa"/>
          </w:tblCellMar>
        </w:tblPrEx>
        <w:trPr>
          <w:trHeight w:val="397" w:hRule="atLeast"/>
          <w:jc w:val="center"/>
        </w:trPr>
        <w:tc>
          <w:tcPr>
            <w:tcW w:w="4032" w:type="dxa"/>
            <w:tcBorders>
              <w:top w:val="nil"/>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辛伐他汀口服常释剂型20mg</w:t>
            </w:r>
          </w:p>
        </w:tc>
        <w:tc>
          <w:tcPr>
            <w:tcW w:w="273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1336272</w:t>
            </w:r>
          </w:p>
        </w:tc>
        <w:tc>
          <w:tcPr>
            <w:tcW w:w="1843"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141263.04</w:t>
            </w:r>
          </w:p>
        </w:tc>
        <w:tc>
          <w:tcPr>
            <w:tcW w:w="170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11.68%</w:t>
            </w:r>
          </w:p>
        </w:tc>
        <w:tc>
          <w:tcPr>
            <w:tcW w:w="1583"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99.36%</w:t>
            </w:r>
          </w:p>
        </w:tc>
        <w:tc>
          <w:tcPr>
            <w:tcW w:w="1985"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99.18%</w:t>
            </w:r>
          </w:p>
        </w:tc>
      </w:tr>
      <w:tr>
        <w:tblPrEx>
          <w:tblCellMar>
            <w:top w:w="0" w:type="dxa"/>
            <w:left w:w="108" w:type="dxa"/>
            <w:bottom w:w="0" w:type="dxa"/>
            <w:right w:w="108" w:type="dxa"/>
          </w:tblCellMar>
        </w:tblPrEx>
        <w:trPr>
          <w:trHeight w:val="397" w:hRule="atLeast"/>
          <w:jc w:val="center"/>
        </w:trPr>
        <w:tc>
          <w:tcPr>
            <w:tcW w:w="4032" w:type="dxa"/>
            <w:tcBorders>
              <w:top w:val="nil"/>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异烟肼口服常释剂型0.1g</w:t>
            </w:r>
          </w:p>
        </w:tc>
        <w:tc>
          <w:tcPr>
            <w:tcW w:w="273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789100</w:t>
            </w:r>
          </w:p>
        </w:tc>
        <w:tc>
          <w:tcPr>
            <w:tcW w:w="1843"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31406.18</w:t>
            </w:r>
          </w:p>
        </w:tc>
        <w:tc>
          <w:tcPr>
            <w:tcW w:w="170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11.64%</w:t>
            </w:r>
          </w:p>
        </w:tc>
        <w:tc>
          <w:tcPr>
            <w:tcW w:w="1583"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100.00%</w:t>
            </w:r>
          </w:p>
        </w:tc>
        <w:tc>
          <w:tcPr>
            <w:tcW w:w="1985"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97.37%</w:t>
            </w:r>
          </w:p>
        </w:tc>
      </w:tr>
      <w:tr>
        <w:tblPrEx>
          <w:tblCellMar>
            <w:top w:w="0" w:type="dxa"/>
            <w:left w:w="108" w:type="dxa"/>
            <w:bottom w:w="0" w:type="dxa"/>
            <w:right w:w="108" w:type="dxa"/>
          </w:tblCellMar>
        </w:tblPrEx>
        <w:trPr>
          <w:trHeight w:val="397" w:hRule="atLeast"/>
          <w:jc w:val="center"/>
        </w:trPr>
        <w:tc>
          <w:tcPr>
            <w:tcW w:w="4032" w:type="dxa"/>
            <w:tcBorders>
              <w:top w:val="nil"/>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吲达帕胺口服常释剂型2.5mg</w:t>
            </w:r>
          </w:p>
        </w:tc>
        <w:tc>
          <w:tcPr>
            <w:tcW w:w="273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372100</w:t>
            </w:r>
          </w:p>
        </w:tc>
        <w:tc>
          <w:tcPr>
            <w:tcW w:w="1843"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25860.95</w:t>
            </w:r>
          </w:p>
        </w:tc>
        <w:tc>
          <w:tcPr>
            <w:tcW w:w="170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15.12%</w:t>
            </w:r>
          </w:p>
        </w:tc>
        <w:tc>
          <w:tcPr>
            <w:tcW w:w="1583"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100.00%</w:t>
            </w:r>
          </w:p>
        </w:tc>
        <w:tc>
          <w:tcPr>
            <w:tcW w:w="1985"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93.99%</w:t>
            </w:r>
          </w:p>
        </w:tc>
      </w:tr>
      <w:tr>
        <w:tblPrEx>
          <w:tblCellMar>
            <w:top w:w="0" w:type="dxa"/>
            <w:left w:w="108" w:type="dxa"/>
            <w:bottom w:w="0" w:type="dxa"/>
            <w:right w:w="108" w:type="dxa"/>
          </w:tblCellMar>
        </w:tblPrEx>
        <w:trPr>
          <w:trHeight w:val="397" w:hRule="atLeast"/>
          <w:jc w:val="center"/>
        </w:trPr>
        <w:tc>
          <w:tcPr>
            <w:tcW w:w="4032" w:type="dxa"/>
            <w:tcBorders>
              <w:top w:val="nil"/>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紫杉醇(白蛋白结合型)注射剂100mg</w:t>
            </w:r>
          </w:p>
        </w:tc>
        <w:tc>
          <w:tcPr>
            <w:tcW w:w="273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6518</w:t>
            </w:r>
          </w:p>
        </w:tc>
        <w:tc>
          <w:tcPr>
            <w:tcW w:w="1843"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5084040.00</w:t>
            </w:r>
          </w:p>
        </w:tc>
        <w:tc>
          <w:tcPr>
            <w:tcW w:w="170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21.92%</w:t>
            </w:r>
          </w:p>
        </w:tc>
        <w:tc>
          <w:tcPr>
            <w:tcW w:w="1583"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74.33%</w:t>
            </w:r>
          </w:p>
        </w:tc>
        <w:tc>
          <w:tcPr>
            <w:tcW w:w="1985"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99.10%</w:t>
            </w:r>
          </w:p>
        </w:tc>
      </w:tr>
      <w:tr>
        <w:tblPrEx>
          <w:tblCellMar>
            <w:top w:w="0" w:type="dxa"/>
            <w:left w:w="108" w:type="dxa"/>
            <w:bottom w:w="0" w:type="dxa"/>
            <w:right w:w="108" w:type="dxa"/>
          </w:tblCellMar>
        </w:tblPrEx>
        <w:trPr>
          <w:trHeight w:val="397" w:hRule="atLeast"/>
          <w:jc w:val="center"/>
        </w:trPr>
        <w:tc>
          <w:tcPr>
            <w:tcW w:w="4032" w:type="dxa"/>
            <w:tcBorders>
              <w:top w:val="nil"/>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左西替利嗪口服常释剂型5mg</w:t>
            </w:r>
          </w:p>
        </w:tc>
        <w:tc>
          <w:tcPr>
            <w:tcW w:w="273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96084</w:t>
            </w:r>
          </w:p>
        </w:tc>
        <w:tc>
          <w:tcPr>
            <w:tcW w:w="1843"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27624.15</w:t>
            </w:r>
          </w:p>
        </w:tc>
        <w:tc>
          <w:tcPr>
            <w:tcW w:w="1701"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9.21%</w:t>
            </w:r>
          </w:p>
        </w:tc>
        <w:tc>
          <w:tcPr>
            <w:tcW w:w="1583"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94.12%</w:t>
            </w:r>
          </w:p>
        </w:tc>
        <w:tc>
          <w:tcPr>
            <w:tcW w:w="1985" w:type="dxa"/>
            <w:tcBorders>
              <w:top w:val="nil"/>
              <w:left w:val="nil"/>
              <w:bottom w:val="single" w:color="auto" w:sz="4" w:space="0"/>
              <w:right w:val="single" w:color="auto" w:sz="4" w:space="0"/>
            </w:tcBorders>
            <w:shd w:val="clear" w:color="auto" w:fill="auto"/>
            <w:noWrap/>
            <w:vAlign w:val="center"/>
          </w:tcPr>
          <w:p>
            <w:pPr>
              <w:spacing w:line="3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98.79%</w:t>
            </w:r>
          </w:p>
        </w:tc>
      </w:tr>
      <w:tr>
        <w:tblPrEx>
          <w:tblCellMar>
            <w:top w:w="0" w:type="dxa"/>
            <w:left w:w="108" w:type="dxa"/>
            <w:bottom w:w="0" w:type="dxa"/>
            <w:right w:w="108" w:type="dxa"/>
          </w:tblCellMar>
        </w:tblPrEx>
        <w:trPr>
          <w:trHeight w:val="397" w:hRule="atLeast"/>
          <w:jc w:val="center"/>
        </w:trPr>
        <w:tc>
          <w:tcPr>
            <w:tcW w:w="4032"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textAlignment w:val="center"/>
              <w:rPr>
                <w:rFonts w:cs="宋体" w:asciiTheme="minorEastAsia" w:hAnsiTheme="minorEastAsia" w:eastAsiaTheme="minorEastAsia"/>
                <w:b/>
                <w:color w:val="000000"/>
                <w:kern w:val="0"/>
                <w:sz w:val="24"/>
                <w:szCs w:val="24"/>
                <w:lang w:bidi="ar"/>
              </w:rPr>
            </w:pPr>
            <w:r>
              <w:rPr>
                <w:rFonts w:hint="eastAsia" w:cs="宋体" w:asciiTheme="minorEastAsia" w:hAnsiTheme="minorEastAsia" w:eastAsiaTheme="minorEastAsia"/>
                <w:b/>
                <w:color w:val="000000"/>
                <w:kern w:val="0"/>
                <w:sz w:val="24"/>
                <w:szCs w:val="24"/>
                <w:lang w:bidi="ar"/>
              </w:rPr>
              <w:t>总计</w:t>
            </w:r>
          </w:p>
        </w:tc>
        <w:tc>
          <w:tcPr>
            <w:tcW w:w="2731"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textAlignment w:val="center"/>
              <w:rPr>
                <w:rFonts w:cs="宋体" w:asciiTheme="minorEastAsia" w:hAnsiTheme="minorEastAsia" w:eastAsiaTheme="minorEastAsia"/>
                <w:b/>
                <w:color w:val="000000"/>
                <w:kern w:val="0"/>
                <w:sz w:val="24"/>
                <w:szCs w:val="24"/>
                <w:lang w:bidi="ar"/>
              </w:rPr>
            </w:pPr>
            <w:r>
              <w:rPr>
                <w:rFonts w:hint="eastAsia" w:cs="宋体" w:asciiTheme="minorEastAsia" w:hAnsiTheme="minorEastAsia" w:eastAsiaTheme="minorEastAsia"/>
                <w:b/>
                <w:color w:val="000000"/>
                <w:kern w:val="0"/>
                <w:sz w:val="24"/>
                <w:szCs w:val="24"/>
                <w:lang w:bidi="ar"/>
              </w:rPr>
              <w:t>27853175</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textAlignment w:val="center"/>
              <w:rPr>
                <w:rFonts w:cs="宋体" w:asciiTheme="minorEastAsia" w:hAnsiTheme="minorEastAsia" w:eastAsiaTheme="minorEastAsia"/>
                <w:b/>
                <w:color w:val="000000"/>
                <w:kern w:val="0"/>
                <w:sz w:val="24"/>
                <w:szCs w:val="24"/>
                <w:lang w:bidi="ar"/>
              </w:rPr>
            </w:pPr>
            <w:r>
              <w:rPr>
                <w:rFonts w:hint="eastAsia" w:cs="宋体" w:asciiTheme="minorEastAsia" w:hAnsiTheme="minorEastAsia" w:eastAsiaTheme="minorEastAsia"/>
                <w:b/>
                <w:color w:val="000000"/>
                <w:kern w:val="0"/>
                <w:sz w:val="24"/>
                <w:szCs w:val="24"/>
                <w:lang w:bidi="ar"/>
              </w:rPr>
              <w:t>13184093.11</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textAlignment w:val="center"/>
              <w:rPr>
                <w:rFonts w:cs="宋体" w:asciiTheme="minorEastAsia" w:hAnsiTheme="minorEastAsia" w:eastAsiaTheme="minorEastAsia"/>
                <w:b/>
                <w:color w:val="000000"/>
                <w:kern w:val="0"/>
                <w:sz w:val="24"/>
                <w:szCs w:val="24"/>
                <w:lang w:bidi="ar"/>
              </w:rPr>
            </w:pPr>
            <w:r>
              <w:rPr>
                <w:rFonts w:hint="eastAsia" w:cs="宋体" w:asciiTheme="minorEastAsia" w:hAnsiTheme="minorEastAsia" w:eastAsiaTheme="minorEastAsia"/>
                <w:b/>
                <w:color w:val="000000"/>
                <w:kern w:val="0"/>
                <w:sz w:val="24"/>
                <w:szCs w:val="24"/>
                <w:lang w:bidi="ar"/>
              </w:rPr>
              <w:t>14.19%</w:t>
            </w:r>
          </w:p>
        </w:tc>
        <w:tc>
          <w:tcPr>
            <w:tcW w:w="1583"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textAlignment w:val="center"/>
              <w:rPr>
                <w:rFonts w:cs="宋体" w:asciiTheme="minorEastAsia" w:hAnsiTheme="minorEastAsia" w:eastAsiaTheme="minorEastAsia"/>
                <w:b/>
                <w:color w:val="000000"/>
                <w:kern w:val="0"/>
                <w:sz w:val="24"/>
                <w:szCs w:val="24"/>
                <w:lang w:bidi="ar"/>
              </w:rPr>
            </w:pPr>
            <w:r>
              <w:rPr>
                <w:rFonts w:hint="eastAsia" w:cs="宋体" w:asciiTheme="minorEastAsia" w:hAnsiTheme="minorEastAsia" w:eastAsiaTheme="minorEastAsia"/>
                <w:b/>
                <w:color w:val="000000"/>
                <w:kern w:val="0"/>
                <w:sz w:val="24"/>
                <w:szCs w:val="24"/>
                <w:lang w:bidi="ar"/>
              </w:rPr>
              <w:t>90.71%</w:t>
            </w:r>
          </w:p>
        </w:tc>
        <w:tc>
          <w:tcPr>
            <w:tcW w:w="1985"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textAlignment w:val="center"/>
              <w:rPr>
                <w:rFonts w:cs="宋体" w:asciiTheme="minorEastAsia" w:hAnsiTheme="minorEastAsia" w:eastAsiaTheme="minorEastAsia"/>
                <w:b/>
                <w:color w:val="000000"/>
                <w:kern w:val="0"/>
                <w:sz w:val="24"/>
                <w:szCs w:val="24"/>
                <w:lang w:bidi="ar"/>
              </w:rPr>
            </w:pPr>
            <w:r>
              <w:rPr>
                <w:rFonts w:hint="eastAsia" w:cs="宋体" w:asciiTheme="minorEastAsia" w:hAnsiTheme="minorEastAsia" w:eastAsiaTheme="minorEastAsia"/>
                <w:b/>
                <w:color w:val="000000"/>
                <w:kern w:val="0"/>
                <w:sz w:val="24"/>
                <w:szCs w:val="24"/>
                <w:lang w:bidi="ar"/>
              </w:rPr>
              <w:t>70.18%</w:t>
            </w:r>
          </w:p>
        </w:tc>
      </w:tr>
    </w:tbl>
    <w:p>
      <w:pPr>
        <w:widowControl/>
        <w:spacing w:line="20" w:lineRule="exact"/>
        <w:textAlignment w:val="center"/>
        <w:rPr>
          <w:rFonts w:ascii="仿宋_GB2312" w:eastAsia="仿宋_GB2312"/>
        </w:rPr>
      </w:pPr>
      <w:r>
        <w:rPr>
          <w:rFonts w:hint="eastAsia" w:ascii="宋体" w:hAnsi="宋体" w:cs="宋体"/>
          <w:b/>
          <w:color w:val="000000"/>
          <w:kern w:val="0"/>
          <w:sz w:val="22"/>
          <w:lang w:bidi="ar"/>
        </w:rPr>
        <w:br w:type="page"/>
      </w:r>
    </w:p>
    <w:p>
      <w:pPr>
        <w:pStyle w:val="6"/>
        <w:spacing w:line="579" w:lineRule="exact"/>
        <w:ind w:firstLine="0" w:firstLineChars="0"/>
        <w:jc w:val="center"/>
        <w:outlineLvl w:val="0"/>
        <w:rPr>
          <w:rFonts w:ascii="黑体" w:eastAsia="黑体"/>
          <w:sz w:val="32"/>
        </w:rPr>
      </w:pPr>
      <w:r>
        <w:rPr>
          <w:rFonts w:ascii="黑体" w:eastAsia="黑体"/>
          <w:sz w:val="32"/>
        </w:rPr>
        <w:t>附表3:第</w:t>
      </w:r>
      <w:r>
        <w:rPr>
          <w:rFonts w:hint="eastAsia" w:ascii="黑体" w:eastAsia="黑体"/>
          <w:sz w:val="32"/>
        </w:rPr>
        <w:t>三</w:t>
      </w:r>
      <w:r>
        <w:rPr>
          <w:rFonts w:ascii="黑体" w:eastAsia="黑体"/>
          <w:sz w:val="32"/>
        </w:rPr>
        <w:t>批国家组织药品集中采购江西中选药品采购情况（截至</w:t>
      </w:r>
      <w:r>
        <w:rPr>
          <w:rFonts w:hint="eastAsia" w:ascii="黑体" w:eastAsia="黑体"/>
          <w:sz w:val="32"/>
        </w:rPr>
        <w:t>2021年</w:t>
      </w:r>
      <w:r>
        <w:rPr>
          <w:rFonts w:ascii="黑体" w:eastAsia="黑体"/>
          <w:sz w:val="32"/>
        </w:rPr>
        <w:t>4</w:t>
      </w:r>
      <w:r>
        <w:rPr>
          <w:rFonts w:hint="eastAsia" w:ascii="黑体" w:eastAsia="黑体"/>
          <w:sz w:val="32"/>
        </w:rPr>
        <w:t>月3</w:t>
      </w:r>
      <w:r>
        <w:rPr>
          <w:rFonts w:ascii="黑体" w:eastAsia="黑体"/>
          <w:sz w:val="32"/>
        </w:rPr>
        <w:t>0</w:t>
      </w:r>
      <w:r>
        <w:rPr>
          <w:rFonts w:hint="eastAsia" w:ascii="黑体" w:eastAsia="黑体"/>
          <w:sz w:val="32"/>
        </w:rPr>
        <w:t>日</w:t>
      </w:r>
      <w:r>
        <w:rPr>
          <w:rFonts w:ascii="黑体" w:eastAsia="黑体"/>
          <w:sz w:val="32"/>
        </w:rPr>
        <w:t>）</w:t>
      </w:r>
    </w:p>
    <w:tbl>
      <w:tblPr>
        <w:tblStyle w:val="4"/>
        <w:tblW w:w="13362" w:type="dxa"/>
        <w:tblInd w:w="113" w:type="dxa"/>
        <w:tblLayout w:type="autofit"/>
        <w:tblCellMar>
          <w:top w:w="0" w:type="dxa"/>
          <w:left w:w="108" w:type="dxa"/>
          <w:bottom w:w="0" w:type="dxa"/>
          <w:right w:w="108" w:type="dxa"/>
        </w:tblCellMar>
      </w:tblPr>
      <w:tblGrid>
        <w:gridCol w:w="4673"/>
        <w:gridCol w:w="2410"/>
        <w:gridCol w:w="1843"/>
        <w:gridCol w:w="1417"/>
        <w:gridCol w:w="1460"/>
        <w:gridCol w:w="1559"/>
      </w:tblGrid>
      <w:tr>
        <w:tblPrEx>
          <w:tblCellMar>
            <w:top w:w="0" w:type="dxa"/>
            <w:left w:w="108" w:type="dxa"/>
            <w:bottom w:w="0" w:type="dxa"/>
            <w:right w:w="108" w:type="dxa"/>
          </w:tblCellMar>
        </w:tblPrEx>
        <w:trPr>
          <w:trHeight w:val="329" w:hRule="atLeast"/>
          <w:tblHeader/>
        </w:trPr>
        <w:tc>
          <w:tcPr>
            <w:tcW w:w="46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eastAsiaTheme="minorEastAsia" w:cstheme="minorHAnsi"/>
                <w:b/>
                <w:bCs/>
                <w:color w:val="000000"/>
                <w:kern w:val="0"/>
                <w:sz w:val="24"/>
                <w:szCs w:val="24"/>
              </w:rPr>
            </w:pPr>
            <w:r>
              <w:rPr>
                <w:rFonts w:asciiTheme="minorEastAsia" w:hAnsiTheme="minorEastAsia" w:eastAsiaTheme="minorEastAsia" w:cstheme="minorHAnsi"/>
                <w:b/>
                <w:bCs/>
                <w:color w:val="000000"/>
                <w:kern w:val="0"/>
                <w:sz w:val="24"/>
                <w:szCs w:val="24"/>
              </w:rPr>
              <w:t>药品</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eastAsiaTheme="minorEastAsia" w:cstheme="minorHAnsi"/>
                <w:b/>
                <w:bCs/>
                <w:color w:val="000000"/>
                <w:kern w:val="0"/>
                <w:sz w:val="24"/>
                <w:szCs w:val="24"/>
              </w:rPr>
            </w:pPr>
            <w:r>
              <w:rPr>
                <w:rFonts w:asciiTheme="minorEastAsia" w:hAnsiTheme="minorEastAsia" w:eastAsiaTheme="minorEastAsia" w:cstheme="minorHAnsi"/>
                <w:b/>
                <w:bCs/>
                <w:color w:val="000000"/>
                <w:kern w:val="0"/>
                <w:sz w:val="24"/>
                <w:szCs w:val="24"/>
              </w:rPr>
              <w:t>采购数量（片/支/袋）</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eastAsiaTheme="minorEastAsia" w:cstheme="minorHAnsi"/>
                <w:b/>
                <w:bCs/>
                <w:color w:val="000000"/>
                <w:kern w:val="0"/>
                <w:sz w:val="24"/>
                <w:szCs w:val="24"/>
              </w:rPr>
            </w:pPr>
            <w:r>
              <w:rPr>
                <w:rFonts w:asciiTheme="minorEastAsia" w:hAnsiTheme="minorEastAsia" w:eastAsiaTheme="minorEastAsia" w:cstheme="minorHAnsi"/>
                <w:b/>
                <w:bCs/>
                <w:color w:val="000000"/>
                <w:kern w:val="0"/>
                <w:sz w:val="24"/>
                <w:szCs w:val="24"/>
              </w:rPr>
              <w:t>采购金额（元）</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eastAsiaTheme="minorEastAsia" w:cstheme="minorHAnsi"/>
                <w:b/>
                <w:bCs/>
                <w:color w:val="000000"/>
                <w:kern w:val="0"/>
                <w:sz w:val="24"/>
                <w:szCs w:val="24"/>
              </w:rPr>
            </w:pPr>
            <w:r>
              <w:rPr>
                <w:rFonts w:asciiTheme="minorEastAsia" w:hAnsiTheme="minorEastAsia" w:eastAsiaTheme="minorEastAsia" w:cstheme="minorHAnsi"/>
                <w:b/>
                <w:bCs/>
                <w:color w:val="000000"/>
                <w:kern w:val="0"/>
                <w:sz w:val="24"/>
                <w:szCs w:val="24"/>
              </w:rPr>
              <w:t>完成进度</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eastAsiaTheme="minorEastAsia" w:cstheme="minorHAnsi"/>
                <w:b/>
                <w:bCs/>
                <w:color w:val="000000"/>
                <w:kern w:val="0"/>
                <w:sz w:val="24"/>
                <w:szCs w:val="24"/>
              </w:rPr>
            </w:pPr>
            <w:r>
              <w:rPr>
                <w:rFonts w:asciiTheme="minorEastAsia" w:hAnsiTheme="minorEastAsia" w:eastAsiaTheme="minorEastAsia" w:cstheme="minorHAnsi"/>
                <w:b/>
                <w:bCs/>
                <w:color w:val="000000"/>
                <w:kern w:val="0"/>
                <w:sz w:val="24"/>
                <w:szCs w:val="24"/>
              </w:rPr>
              <w:t>中选药占比</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heme="minorEastAsia" w:hAnsiTheme="minorEastAsia" w:eastAsiaTheme="minorEastAsia" w:cstheme="minorHAnsi"/>
                <w:b/>
                <w:bCs/>
                <w:color w:val="000000"/>
                <w:kern w:val="0"/>
                <w:sz w:val="24"/>
                <w:szCs w:val="24"/>
              </w:rPr>
            </w:pPr>
            <w:r>
              <w:rPr>
                <w:rFonts w:asciiTheme="minorEastAsia" w:hAnsiTheme="minorEastAsia" w:eastAsiaTheme="minorEastAsia" w:cstheme="minorHAnsi"/>
                <w:b/>
                <w:bCs/>
                <w:color w:val="000000"/>
                <w:kern w:val="0"/>
                <w:sz w:val="24"/>
                <w:szCs w:val="24"/>
              </w:rPr>
              <w:t>网上配送率</w:t>
            </w:r>
          </w:p>
        </w:tc>
      </w:tr>
      <w:tr>
        <w:tblPrEx>
          <w:tblCellMar>
            <w:top w:w="0" w:type="dxa"/>
            <w:left w:w="108" w:type="dxa"/>
            <w:bottom w:w="0" w:type="dxa"/>
            <w:right w:w="108" w:type="dxa"/>
          </w:tblCellMar>
        </w:tblPrEx>
        <w:trPr>
          <w:trHeight w:val="329" w:hRule="atLeast"/>
        </w:trPr>
        <w:tc>
          <w:tcPr>
            <w:tcW w:w="467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阿那曲唑口服常释剂型1mg</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670866</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 xml:space="preserve">971318.13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144.25%</w:t>
            </w:r>
          </w:p>
        </w:tc>
        <w:tc>
          <w:tcPr>
            <w:tcW w:w="14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89.29%</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99.28%</w:t>
            </w:r>
          </w:p>
        </w:tc>
      </w:tr>
      <w:tr>
        <w:tblPrEx>
          <w:tblCellMar>
            <w:top w:w="0" w:type="dxa"/>
            <w:left w:w="108" w:type="dxa"/>
            <w:bottom w:w="0" w:type="dxa"/>
            <w:right w:w="108" w:type="dxa"/>
          </w:tblCellMar>
        </w:tblPrEx>
        <w:trPr>
          <w:trHeight w:val="329" w:hRule="atLeast"/>
        </w:trPr>
        <w:tc>
          <w:tcPr>
            <w:tcW w:w="467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阿哌沙班口服常释剂型2.5mg</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59206</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 xml:space="preserve">57852.72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218.48%</w:t>
            </w:r>
          </w:p>
        </w:tc>
        <w:tc>
          <w:tcPr>
            <w:tcW w:w="14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100.00%</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94.63%</w:t>
            </w:r>
          </w:p>
        </w:tc>
      </w:tr>
      <w:tr>
        <w:tblPrEx>
          <w:tblCellMar>
            <w:top w:w="0" w:type="dxa"/>
            <w:left w:w="108" w:type="dxa"/>
            <w:bottom w:w="0" w:type="dxa"/>
            <w:right w:w="108" w:type="dxa"/>
          </w:tblCellMar>
        </w:tblPrEx>
        <w:trPr>
          <w:trHeight w:val="329" w:hRule="atLeast"/>
        </w:trPr>
        <w:tc>
          <w:tcPr>
            <w:tcW w:w="467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阿扎胞苷注射剂100mg</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5603</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 xml:space="preserve">1938638.00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1109.50%</w:t>
            </w:r>
          </w:p>
        </w:tc>
        <w:tc>
          <w:tcPr>
            <w:tcW w:w="14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93.68%</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91.86%</w:t>
            </w:r>
          </w:p>
        </w:tc>
      </w:tr>
      <w:tr>
        <w:tblPrEx>
          <w:tblCellMar>
            <w:top w:w="0" w:type="dxa"/>
            <w:left w:w="108" w:type="dxa"/>
            <w:bottom w:w="0" w:type="dxa"/>
            <w:right w:w="108" w:type="dxa"/>
          </w:tblCellMar>
        </w:tblPrEx>
        <w:trPr>
          <w:trHeight w:val="329" w:hRule="atLeast"/>
        </w:trPr>
        <w:tc>
          <w:tcPr>
            <w:tcW w:w="467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氨基葡萄糖口服常释剂型0.25g</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6593568</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 xml:space="preserve">2522039.76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57.97%</w:t>
            </w:r>
          </w:p>
        </w:tc>
        <w:tc>
          <w:tcPr>
            <w:tcW w:w="14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85.88%</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99.40%</w:t>
            </w:r>
          </w:p>
        </w:tc>
      </w:tr>
      <w:tr>
        <w:tblPrEx>
          <w:tblCellMar>
            <w:top w:w="0" w:type="dxa"/>
            <w:left w:w="108" w:type="dxa"/>
            <w:bottom w:w="0" w:type="dxa"/>
            <w:right w:w="108" w:type="dxa"/>
          </w:tblCellMar>
        </w:tblPrEx>
        <w:trPr>
          <w:trHeight w:val="329" w:hRule="atLeast"/>
        </w:trPr>
        <w:tc>
          <w:tcPr>
            <w:tcW w:w="467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氨溴索口服常释剂型30mg</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6636800</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 xml:space="preserve">696864.00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122.42%</w:t>
            </w:r>
          </w:p>
        </w:tc>
        <w:tc>
          <w:tcPr>
            <w:tcW w:w="14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90.58%</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89.52%</w:t>
            </w:r>
          </w:p>
        </w:tc>
      </w:tr>
      <w:tr>
        <w:tblPrEx>
          <w:tblCellMar>
            <w:top w:w="0" w:type="dxa"/>
            <w:left w:w="108" w:type="dxa"/>
            <w:bottom w:w="0" w:type="dxa"/>
            <w:right w:w="108" w:type="dxa"/>
          </w:tblCellMar>
        </w:tblPrEx>
        <w:trPr>
          <w:trHeight w:val="329" w:hRule="atLeast"/>
        </w:trPr>
        <w:tc>
          <w:tcPr>
            <w:tcW w:w="467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奥氮平口崩片5mg</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523684</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 xml:space="preserve">235657.80 </w:t>
            </w:r>
          </w:p>
        </w:tc>
        <w:tc>
          <w:tcPr>
            <w:tcW w:w="14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919.21%</w:t>
            </w:r>
          </w:p>
        </w:tc>
        <w:tc>
          <w:tcPr>
            <w:tcW w:w="146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99.53%</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83.52%</w:t>
            </w:r>
          </w:p>
        </w:tc>
      </w:tr>
      <w:tr>
        <w:tblPrEx>
          <w:tblCellMar>
            <w:top w:w="0" w:type="dxa"/>
            <w:left w:w="108" w:type="dxa"/>
            <w:bottom w:w="0" w:type="dxa"/>
            <w:right w:w="108" w:type="dxa"/>
          </w:tblCellMar>
        </w:tblPrEx>
        <w:trPr>
          <w:trHeight w:val="329" w:hRule="atLeast"/>
        </w:trPr>
        <w:tc>
          <w:tcPr>
            <w:tcW w:w="467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奥氮平口崩片10mg</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64505</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 xml:space="preserve">50590.35 </w:t>
            </w:r>
          </w:p>
        </w:tc>
        <w:tc>
          <w:tcPr>
            <w:tcW w:w="14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heme="minorEastAsia" w:hAnsiTheme="minorEastAsia" w:eastAsiaTheme="minorEastAsia" w:cstheme="minorHAnsi"/>
                <w:color w:val="000000"/>
                <w:kern w:val="0"/>
                <w:sz w:val="24"/>
                <w:szCs w:val="24"/>
              </w:rPr>
            </w:pPr>
          </w:p>
        </w:tc>
        <w:tc>
          <w:tcPr>
            <w:tcW w:w="14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heme="minorEastAsia" w:hAnsiTheme="minorEastAsia" w:eastAsiaTheme="minorEastAsia" w:cstheme="minorHAnsi"/>
                <w:color w:val="000000"/>
                <w:kern w:val="0"/>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100.00%</w:t>
            </w:r>
          </w:p>
        </w:tc>
      </w:tr>
      <w:tr>
        <w:tblPrEx>
          <w:tblCellMar>
            <w:top w:w="0" w:type="dxa"/>
            <w:left w:w="108" w:type="dxa"/>
            <w:bottom w:w="0" w:type="dxa"/>
            <w:right w:w="108" w:type="dxa"/>
          </w:tblCellMar>
        </w:tblPrEx>
        <w:trPr>
          <w:trHeight w:val="329" w:hRule="atLeast"/>
        </w:trPr>
        <w:tc>
          <w:tcPr>
            <w:tcW w:w="467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奥美拉唑口服常释剂型20mg</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7568008</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 xml:space="preserve">1153639.79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71.85%</w:t>
            </w:r>
          </w:p>
        </w:tc>
        <w:tc>
          <w:tcPr>
            <w:tcW w:w="14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77.45%</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33.26%</w:t>
            </w:r>
          </w:p>
        </w:tc>
      </w:tr>
      <w:tr>
        <w:tblPrEx>
          <w:tblCellMar>
            <w:top w:w="0" w:type="dxa"/>
            <w:left w:w="108" w:type="dxa"/>
            <w:bottom w:w="0" w:type="dxa"/>
            <w:right w:w="108" w:type="dxa"/>
          </w:tblCellMar>
        </w:tblPrEx>
        <w:trPr>
          <w:trHeight w:val="329" w:hRule="atLeast"/>
        </w:trPr>
        <w:tc>
          <w:tcPr>
            <w:tcW w:w="467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布洛芬缓控释剂型0.3g</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3861168</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 xml:space="preserve">772233.60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82.40%</w:t>
            </w:r>
          </w:p>
        </w:tc>
        <w:tc>
          <w:tcPr>
            <w:tcW w:w="14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72.24%</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57.27%</w:t>
            </w:r>
          </w:p>
        </w:tc>
      </w:tr>
      <w:tr>
        <w:tblPrEx>
          <w:tblCellMar>
            <w:top w:w="0" w:type="dxa"/>
            <w:left w:w="108" w:type="dxa"/>
            <w:bottom w:w="0" w:type="dxa"/>
            <w:right w:w="108" w:type="dxa"/>
          </w:tblCellMar>
        </w:tblPrEx>
        <w:trPr>
          <w:trHeight w:val="329" w:hRule="atLeast"/>
        </w:trPr>
        <w:tc>
          <w:tcPr>
            <w:tcW w:w="467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布洛芬颗粒剂0.2g</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314412</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 xml:space="preserve">51615.97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129.51%</w:t>
            </w:r>
          </w:p>
        </w:tc>
        <w:tc>
          <w:tcPr>
            <w:tcW w:w="14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94.23%</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78.68%</w:t>
            </w:r>
          </w:p>
        </w:tc>
      </w:tr>
      <w:tr>
        <w:tblPrEx>
          <w:tblCellMar>
            <w:top w:w="0" w:type="dxa"/>
            <w:left w:w="108" w:type="dxa"/>
            <w:bottom w:w="0" w:type="dxa"/>
            <w:right w:w="108" w:type="dxa"/>
          </w:tblCellMar>
        </w:tblPrEx>
        <w:trPr>
          <w:trHeight w:val="329" w:hRule="atLeast"/>
        </w:trPr>
        <w:tc>
          <w:tcPr>
            <w:tcW w:w="467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地氯雷他定口服常释剂型5mg</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1203936</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 xml:space="preserve">568358.12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332.82%</w:t>
            </w:r>
          </w:p>
        </w:tc>
        <w:tc>
          <w:tcPr>
            <w:tcW w:w="14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98.71%</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99.24%</w:t>
            </w:r>
          </w:p>
        </w:tc>
      </w:tr>
      <w:tr>
        <w:tblPrEx>
          <w:tblCellMar>
            <w:top w:w="0" w:type="dxa"/>
            <w:left w:w="108" w:type="dxa"/>
            <w:bottom w:w="0" w:type="dxa"/>
            <w:right w:w="108" w:type="dxa"/>
          </w:tblCellMar>
        </w:tblPrEx>
        <w:trPr>
          <w:trHeight w:val="329" w:hRule="atLeast"/>
        </w:trPr>
        <w:tc>
          <w:tcPr>
            <w:tcW w:w="467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多潘立酮口服常释剂型10mg</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7970910</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 xml:space="preserve">1267374.69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90.57%</w:t>
            </w:r>
          </w:p>
        </w:tc>
        <w:tc>
          <w:tcPr>
            <w:tcW w:w="14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80.84%</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96.24%</w:t>
            </w:r>
          </w:p>
        </w:tc>
      </w:tr>
      <w:tr>
        <w:tblPrEx>
          <w:tblCellMar>
            <w:top w:w="0" w:type="dxa"/>
            <w:left w:w="108" w:type="dxa"/>
            <w:bottom w:w="0" w:type="dxa"/>
            <w:right w:w="108" w:type="dxa"/>
          </w:tblCellMar>
        </w:tblPrEx>
        <w:trPr>
          <w:trHeight w:val="329" w:hRule="atLeast"/>
        </w:trPr>
        <w:tc>
          <w:tcPr>
            <w:tcW w:w="467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二甲双胍缓控释剂型0.5g</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9820836</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 xml:space="preserve">1118484.10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101.34%</w:t>
            </w:r>
          </w:p>
        </w:tc>
        <w:tc>
          <w:tcPr>
            <w:tcW w:w="14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56.29%</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40.89%</w:t>
            </w:r>
          </w:p>
        </w:tc>
      </w:tr>
      <w:tr>
        <w:tblPrEx>
          <w:tblCellMar>
            <w:top w:w="0" w:type="dxa"/>
            <w:left w:w="108" w:type="dxa"/>
            <w:bottom w:w="0" w:type="dxa"/>
            <w:right w:w="108" w:type="dxa"/>
          </w:tblCellMar>
        </w:tblPrEx>
        <w:trPr>
          <w:trHeight w:val="329" w:hRule="atLeast"/>
        </w:trPr>
        <w:tc>
          <w:tcPr>
            <w:tcW w:w="467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二甲双胍口服常释剂型0.5g</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41769612</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 xml:space="preserve">2726627.45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52.71%</w:t>
            </w:r>
          </w:p>
        </w:tc>
        <w:tc>
          <w:tcPr>
            <w:tcW w:w="14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62.36%</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43.77%</w:t>
            </w:r>
          </w:p>
        </w:tc>
      </w:tr>
      <w:tr>
        <w:tblPrEx>
          <w:tblCellMar>
            <w:top w:w="0" w:type="dxa"/>
            <w:left w:w="108" w:type="dxa"/>
            <w:bottom w:w="0" w:type="dxa"/>
            <w:right w:w="108" w:type="dxa"/>
          </w:tblCellMar>
        </w:tblPrEx>
        <w:trPr>
          <w:trHeight w:val="329" w:hRule="atLeast"/>
        </w:trPr>
        <w:tc>
          <w:tcPr>
            <w:tcW w:w="467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非布司他口服常释剂型40mg</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8550136</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 xml:space="preserve">13671056.74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287.42%</w:t>
            </w:r>
          </w:p>
        </w:tc>
        <w:tc>
          <w:tcPr>
            <w:tcW w:w="14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97.89%</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92.43%</w:t>
            </w:r>
          </w:p>
        </w:tc>
      </w:tr>
      <w:tr>
        <w:tblPrEx>
          <w:tblCellMar>
            <w:top w:w="0" w:type="dxa"/>
            <w:left w:w="108" w:type="dxa"/>
            <w:bottom w:w="0" w:type="dxa"/>
            <w:right w:w="108" w:type="dxa"/>
          </w:tblCellMar>
        </w:tblPrEx>
        <w:trPr>
          <w:trHeight w:val="329" w:hRule="atLeast"/>
        </w:trPr>
        <w:tc>
          <w:tcPr>
            <w:tcW w:w="467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非那雄胺口服常释剂型1mg</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68124</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 xml:space="preserve">167877.00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901.47%</w:t>
            </w:r>
          </w:p>
        </w:tc>
        <w:tc>
          <w:tcPr>
            <w:tcW w:w="14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96.65%</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69.64%</w:t>
            </w:r>
          </w:p>
        </w:tc>
      </w:tr>
      <w:tr>
        <w:tblPrEx>
          <w:tblCellMar>
            <w:top w:w="0" w:type="dxa"/>
            <w:left w:w="108" w:type="dxa"/>
            <w:bottom w:w="0" w:type="dxa"/>
            <w:right w:w="108" w:type="dxa"/>
          </w:tblCellMar>
        </w:tblPrEx>
        <w:trPr>
          <w:trHeight w:val="329" w:hRule="atLeast"/>
        </w:trPr>
        <w:tc>
          <w:tcPr>
            <w:tcW w:w="467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非那雄胺口服常释剂型5mg</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2374850</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 xml:space="preserve">1044934.00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98.70%</w:t>
            </w:r>
          </w:p>
        </w:tc>
        <w:tc>
          <w:tcPr>
            <w:tcW w:w="14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86.28%</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98.92%</w:t>
            </w:r>
          </w:p>
        </w:tc>
      </w:tr>
      <w:tr>
        <w:tblPrEx>
          <w:tblCellMar>
            <w:top w:w="0" w:type="dxa"/>
            <w:left w:w="108" w:type="dxa"/>
            <w:bottom w:w="0" w:type="dxa"/>
            <w:right w:w="108" w:type="dxa"/>
          </w:tblCellMar>
        </w:tblPrEx>
        <w:trPr>
          <w:trHeight w:val="329" w:hRule="atLeast"/>
        </w:trPr>
        <w:tc>
          <w:tcPr>
            <w:tcW w:w="467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氟西汀口服常释剂型20mg</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211638</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 xml:space="preserve">618587.64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147.65%</w:t>
            </w:r>
          </w:p>
        </w:tc>
        <w:tc>
          <w:tcPr>
            <w:tcW w:w="14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53.01%</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93.23%</w:t>
            </w:r>
          </w:p>
        </w:tc>
      </w:tr>
      <w:tr>
        <w:tblPrEx>
          <w:tblCellMar>
            <w:top w:w="0" w:type="dxa"/>
            <w:left w:w="108" w:type="dxa"/>
            <w:bottom w:w="0" w:type="dxa"/>
            <w:right w:w="108" w:type="dxa"/>
          </w:tblCellMar>
        </w:tblPrEx>
        <w:trPr>
          <w:trHeight w:val="329" w:hRule="atLeast"/>
        </w:trPr>
        <w:tc>
          <w:tcPr>
            <w:tcW w:w="467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枸橼酸西地那非片剂25mg</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23460</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 xml:space="preserve">48835.90 </w:t>
            </w:r>
          </w:p>
        </w:tc>
        <w:tc>
          <w:tcPr>
            <w:tcW w:w="14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676.62%</w:t>
            </w:r>
          </w:p>
        </w:tc>
        <w:tc>
          <w:tcPr>
            <w:tcW w:w="146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98.01%</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88.76%</w:t>
            </w:r>
          </w:p>
        </w:tc>
      </w:tr>
      <w:tr>
        <w:tblPrEx>
          <w:tblCellMar>
            <w:top w:w="0" w:type="dxa"/>
            <w:left w:w="108" w:type="dxa"/>
            <w:bottom w:w="0" w:type="dxa"/>
            <w:right w:w="108" w:type="dxa"/>
          </w:tblCellMar>
        </w:tblPrEx>
        <w:trPr>
          <w:trHeight w:val="329" w:hRule="atLeast"/>
        </w:trPr>
        <w:tc>
          <w:tcPr>
            <w:tcW w:w="467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枸橼酸西地那非片剂50mg</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10724</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 xml:space="preserve">38698.32 </w:t>
            </w:r>
          </w:p>
        </w:tc>
        <w:tc>
          <w:tcPr>
            <w:tcW w:w="14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heme="minorEastAsia" w:hAnsiTheme="minorEastAsia" w:eastAsiaTheme="minorEastAsia" w:cstheme="minorHAnsi"/>
                <w:color w:val="000000"/>
                <w:kern w:val="0"/>
                <w:sz w:val="24"/>
                <w:szCs w:val="24"/>
              </w:rPr>
            </w:pPr>
          </w:p>
        </w:tc>
        <w:tc>
          <w:tcPr>
            <w:tcW w:w="14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heme="minorEastAsia" w:hAnsiTheme="minorEastAsia" w:eastAsiaTheme="minorEastAsia" w:cstheme="minorHAnsi"/>
                <w:color w:val="000000"/>
                <w:kern w:val="0"/>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95.14%</w:t>
            </w:r>
          </w:p>
        </w:tc>
      </w:tr>
      <w:tr>
        <w:tblPrEx>
          <w:tblCellMar>
            <w:top w:w="0" w:type="dxa"/>
            <w:left w:w="108" w:type="dxa"/>
            <w:bottom w:w="0" w:type="dxa"/>
            <w:right w:w="108" w:type="dxa"/>
          </w:tblCellMar>
        </w:tblPrEx>
        <w:trPr>
          <w:trHeight w:val="329" w:hRule="atLeast"/>
        </w:trPr>
        <w:tc>
          <w:tcPr>
            <w:tcW w:w="467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枸橼酸西地那非片剂100mg</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10452</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 xml:space="preserve">66161.16 </w:t>
            </w:r>
          </w:p>
        </w:tc>
        <w:tc>
          <w:tcPr>
            <w:tcW w:w="14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heme="minorEastAsia" w:hAnsiTheme="minorEastAsia" w:eastAsiaTheme="minorEastAsia" w:cstheme="minorHAnsi"/>
                <w:color w:val="000000"/>
                <w:kern w:val="0"/>
                <w:sz w:val="24"/>
                <w:szCs w:val="24"/>
              </w:rPr>
            </w:pPr>
          </w:p>
        </w:tc>
        <w:tc>
          <w:tcPr>
            <w:tcW w:w="14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heme="minorEastAsia" w:hAnsiTheme="minorEastAsia" w:eastAsiaTheme="minorEastAsia" w:cstheme="minorHAnsi"/>
                <w:color w:val="000000"/>
                <w:kern w:val="0"/>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92.50%</w:t>
            </w:r>
          </w:p>
        </w:tc>
      </w:tr>
      <w:tr>
        <w:tblPrEx>
          <w:tblCellMar>
            <w:top w:w="0" w:type="dxa"/>
            <w:left w:w="108" w:type="dxa"/>
            <w:bottom w:w="0" w:type="dxa"/>
            <w:right w:w="108" w:type="dxa"/>
          </w:tblCellMar>
        </w:tblPrEx>
        <w:trPr>
          <w:trHeight w:val="329" w:hRule="atLeast"/>
        </w:trPr>
        <w:tc>
          <w:tcPr>
            <w:tcW w:w="467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甲钴胺口服常释剂型0.5mg</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24111216</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 xml:space="preserve">4254624.99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157.73%</w:t>
            </w:r>
          </w:p>
        </w:tc>
        <w:tc>
          <w:tcPr>
            <w:tcW w:w="14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89.67%</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96.74%</w:t>
            </w:r>
          </w:p>
        </w:tc>
      </w:tr>
      <w:tr>
        <w:tblPrEx>
          <w:tblCellMar>
            <w:top w:w="0" w:type="dxa"/>
            <w:left w:w="108" w:type="dxa"/>
            <w:bottom w:w="0" w:type="dxa"/>
            <w:right w:w="108" w:type="dxa"/>
          </w:tblCellMar>
        </w:tblPrEx>
        <w:trPr>
          <w:trHeight w:val="329" w:hRule="atLeast"/>
        </w:trPr>
        <w:tc>
          <w:tcPr>
            <w:tcW w:w="467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卡培他滨口服常释剂型0.15g</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126060</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 xml:space="preserve">116101.26 </w:t>
            </w:r>
          </w:p>
        </w:tc>
        <w:tc>
          <w:tcPr>
            <w:tcW w:w="14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137.55%</w:t>
            </w:r>
          </w:p>
        </w:tc>
        <w:tc>
          <w:tcPr>
            <w:tcW w:w="146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81.62%</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80.74%</w:t>
            </w:r>
          </w:p>
        </w:tc>
      </w:tr>
      <w:tr>
        <w:tblPrEx>
          <w:tblCellMar>
            <w:top w:w="0" w:type="dxa"/>
            <w:left w:w="108" w:type="dxa"/>
            <w:bottom w:w="0" w:type="dxa"/>
            <w:right w:w="108" w:type="dxa"/>
          </w:tblCellMar>
        </w:tblPrEx>
        <w:trPr>
          <w:trHeight w:val="329" w:hRule="atLeast"/>
        </w:trPr>
        <w:tc>
          <w:tcPr>
            <w:tcW w:w="467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卡培他滨口服常释剂型0.5g</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2325984</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 xml:space="preserve">5349763.20 </w:t>
            </w:r>
          </w:p>
        </w:tc>
        <w:tc>
          <w:tcPr>
            <w:tcW w:w="14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heme="minorEastAsia" w:hAnsiTheme="minorEastAsia" w:eastAsiaTheme="minorEastAsia" w:cstheme="minorHAnsi"/>
                <w:color w:val="000000"/>
                <w:kern w:val="0"/>
                <w:sz w:val="24"/>
                <w:szCs w:val="24"/>
              </w:rPr>
            </w:pPr>
          </w:p>
        </w:tc>
        <w:tc>
          <w:tcPr>
            <w:tcW w:w="14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heme="minorEastAsia" w:hAnsiTheme="minorEastAsia" w:eastAsiaTheme="minorEastAsia" w:cstheme="minorHAnsi"/>
                <w:color w:val="000000"/>
                <w:kern w:val="0"/>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95.31%</w:t>
            </w:r>
          </w:p>
        </w:tc>
      </w:tr>
      <w:tr>
        <w:tblPrEx>
          <w:tblCellMar>
            <w:top w:w="0" w:type="dxa"/>
            <w:left w:w="108" w:type="dxa"/>
            <w:bottom w:w="0" w:type="dxa"/>
            <w:right w:w="108" w:type="dxa"/>
          </w:tblCellMar>
        </w:tblPrEx>
        <w:trPr>
          <w:trHeight w:val="329" w:hRule="atLeast"/>
        </w:trPr>
        <w:tc>
          <w:tcPr>
            <w:tcW w:w="467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卡托普利口服常释剂型25mg</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4268100</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 xml:space="preserve">93044.58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70.51%</w:t>
            </w:r>
          </w:p>
        </w:tc>
        <w:tc>
          <w:tcPr>
            <w:tcW w:w="14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85.80%</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94.41%</w:t>
            </w:r>
          </w:p>
        </w:tc>
      </w:tr>
      <w:tr>
        <w:tblPrEx>
          <w:tblCellMar>
            <w:top w:w="0" w:type="dxa"/>
            <w:left w:w="108" w:type="dxa"/>
            <w:bottom w:w="0" w:type="dxa"/>
            <w:right w:w="108" w:type="dxa"/>
          </w:tblCellMar>
        </w:tblPrEx>
        <w:trPr>
          <w:trHeight w:val="329" w:hRule="atLeast"/>
        </w:trPr>
        <w:tc>
          <w:tcPr>
            <w:tcW w:w="467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喹硫平口服常释剂型25mg</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66416</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 xml:space="preserve">26092.00 </w:t>
            </w:r>
          </w:p>
        </w:tc>
        <w:tc>
          <w:tcPr>
            <w:tcW w:w="14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95.23%</w:t>
            </w:r>
          </w:p>
        </w:tc>
        <w:tc>
          <w:tcPr>
            <w:tcW w:w="146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72.87%</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58.07%</w:t>
            </w:r>
          </w:p>
        </w:tc>
      </w:tr>
      <w:tr>
        <w:tblPrEx>
          <w:tblCellMar>
            <w:top w:w="0" w:type="dxa"/>
            <w:left w:w="108" w:type="dxa"/>
            <w:bottom w:w="0" w:type="dxa"/>
            <w:right w:w="108" w:type="dxa"/>
          </w:tblCellMar>
        </w:tblPrEx>
        <w:trPr>
          <w:trHeight w:val="329" w:hRule="atLeast"/>
        </w:trPr>
        <w:tc>
          <w:tcPr>
            <w:tcW w:w="467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喹硫平口服常释剂型0.1g</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2505780</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 xml:space="preserve">2836542.96 </w:t>
            </w:r>
          </w:p>
        </w:tc>
        <w:tc>
          <w:tcPr>
            <w:tcW w:w="14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heme="minorEastAsia" w:hAnsiTheme="minorEastAsia" w:eastAsiaTheme="minorEastAsia" w:cstheme="minorHAnsi"/>
                <w:color w:val="000000"/>
                <w:kern w:val="0"/>
                <w:sz w:val="24"/>
                <w:szCs w:val="24"/>
              </w:rPr>
            </w:pPr>
          </w:p>
        </w:tc>
        <w:tc>
          <w:tcPr>
            <w:tcW w:w="14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heme="minorEastAsia" w:hAnsiTheme="minorEastAsia" w:eastAsiaTheme="minorEastAsia" w:cstheme="minorHAnsi"/>
                <w:color w:val="000000"/>
                <w:kern w:val="0"/>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85.76%</w:t>
            </w:r>
          </w:p>
        </w:tc>
      </w:tr>
      <w:tr>
        <w:tblPrEx>
          <w:tblCellMar>
            <w:top w:w="0" w:type="dxa"/>
            <w:left w:w="108" w:type="dxa"/>
            <w:bottom w:w="0" w:type="dxa"/>
            <w:right w:w="108" w:type="dxa"/>
          </w:tblCellMar>
        </w:tblPrEx>
        <w:trPr>
          <w:trHeight w:val="329" w:hRule="atLeast"/>
        </w:trPr>
        <w:tc>
          <w:tcPr>
            <w:tcW w:w="467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喹硫平口服常释剂型0.2g</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986112</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 xml:space="preserve">1942024.32 </w:t>
            </w:r>
          </w:p>
        </w:tc>
        <w:tc>
          <w:tcPr>
            <w:tcW w:w="14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heme="minorEastAsia" w:hAnsiTheme="minorEastAsia" w:eastAsiaTheme="minorEastAsia" w:cstheme="minorHAnsi"/>
                <w:color w:val="000000"/>
                <w:kern w:val="0"/>
                <w:sz w:val="24"/>
                <w:szCs w:val="24"/>
              </w:rPr>
            </w:pPr>
          </w:p>
        </w:tc>
        <w:tc>
          <w:tcPr>
            <w:tcW w:w="14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heme="minorEastAsia" w:hAnsiTheme="minorEastAsia" w:eastAsiaTheme="minorEastAsia" w:cstheme="minorHAnsi"/>
                <w:color w:val="000000"/>
                <w:kern w:val="0"/>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98.37%</w:t>
            </w:r>
          </w:p>
        </w:tc>
      </w:tr>
      <w:tr>
        <w:tblPrEx>
          <w:tblCellMar>
            <w:top w:w="0" w:type="dxa"/>
            <w:left w:w="108" w:type="dxa"/>
            <w:bottom w:w="0" w:type="dxa"/>
            <w:right w:w="108" w:type="dxa"/>
          </w:tblCellMar>
        </w:tblPrEx>
        <w:trPr>
          <w:trHeight w:val="329" w:hRule="atLeast"/>
        </w:trPr>
        <w:tc>
          <w:tcPr>
            <w:tcW w:w="467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来曲唑口服常释剂型2.5mg</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1525350</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 xml:space="preserve">4366568.60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201.03%</w:t>
            </w:r>
          </w:p>
        </w:tc>
        <w:tc>
          <w:tcPr>
            <w:tcW w:w="14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91.13%</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80.23%</w:t>
            </w:r>
          </w:p>
        </w:tc>
      </w:tr>
      <w:tr>
        <w:tblPrEx>
          <w:tblCellMar>
            <w:top w:w="0" w:type="dxa"/>
            <w:left w:w="108" w:type="dxa"/>
            <w:bottom w:w="0" w:type="dxa"/>
            <w:right w:w="108" w:type="dxa"/>
          </w:tblCellMar>
        </w:tblPrEx>
        <w:trPr>
          <w:trHeight w:val="329" w:hRule="atLeast"/>
        </w:trPr>
        <w:tc>
          <w:tcPr>
            <w:tcW w:w="467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氯氮平口服常释剂型25mg</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14537000</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 xml:space="preserve">229684.60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74.50%</w:t>
            </w:r>
          </w:p>
        </w:tc>
        <w:tc>
          <w:tcPr>
            <w:tcW w:w="14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72.14%</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56.85%</w:t>
            </w:r>
          </w:p>
        </w:tc>
      </w:tr>
      <w:tr>
        <w:tblPrEx>
          <w:tblCellMar>
            <w:top w:w="0" w:type="dxa"/>
            <w:left w:w="108" w:type="dxa"/>
            <w:bottom w:w="0" w:type="dxa"/>
            <w:right w:w="108" w:type="dxa"/>
          </w:tblCellMar>
        </w:tblPrEx>
        <w:trPr>
          <w:trHeight w:val="329" w:hRule="atLeast"/>
        </w:trPr>
        <w:tc>
          <w:tcPr>
            <w:tcW w:w="467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美金刚口服常释剂型10mg</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455196</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 xml:space="preserve">522499.98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156.23%</w:t>
            </w:r>
          </w:p>
        </w:tc>
        <w:tc>
          <w:tcPr>
            <w:tcW w:w="14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82.83%</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91.85%</w:t>
            </w:r>
          </w:p>
        </w:tc>
      </w:tr>
      <w:tr>
        <w:tblPrEx>
          <w:tblCellMar>
            <w:top w:w="0" w:type="dxa"/>
            <w:left w:w="108" w:type="dxa"/>
            <w:bottom w:w="0" w:type="dxa"/>
            <w:right w:w="108" w:type="dxa"/>
          </w:tblCellMar>
        </w:tblPrEx>
        <w:trPr>
          <w:trHeight w:val="329" w:hRule="atLeast"/>
        </w:trPr>
        <w:tc>
          <w:tcPr>
            <w:tcW w:w="467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孟鲁司特咀嚼片4mg</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335210</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 xml:space="preserve">158219.12 </w:t>
            </w:r>
          </w:p>
        </w:tc>
        <w:tc>
          <w:tcPr>
            <w:tcW w:w="14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89.72%</w:t>
            </w:r>
          </w:p>
        </w:tc>
        <w:tc>
          <w:tcPr>
            <w:tcW w:w="146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96.37%</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96.08%</w:t>
            </w:r>
          </w:p>
        </w:tc>
      </w:tr>
      <w:tr>
        <w:tblPrEx>
          <w:tblCellMar>
            <w:top w:w="0" w:type="dxa"/>
            <w:left w:w="108" w:type="dxa"/>
            <w:bottom w:w="0" w:type="dxa"/>
            <w:right w:w="108" w:type="dxa"/>
          </w:tblCellMar>
        </w:tblPrEx>
        <w:trPr>
          <w:trHeight w:val="329" w:hRule="atLeast"/>
        </w:trPr>
        <w:tc>
          <w:tcPr>
            <w:tcW w:w="467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孟鲁司特咀嚼片5mg</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475902</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 xml:space="preserve">341969.58 </w:t>
            </w:r>
          </w:p>
        </w:tc>
        <w:tc>
          <w:tcPr>
            <w:tcW w:w="14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heme="minorEastAsia" w:hAnsiTheme="minorEastAsia" w:eastAsiaTheme="minorEastAsia" w:cstheme="minorHAnsi"/>
                <w:color w:val="000000"/>
                <w:kern w:val="0"/>
                <w:sz w:val="24"/>
                <w:szCs w:val="24"/>
              </w:rPr>
            </w:pPr>
          </w:p>
        </w:tc>
        <w:tc>
          <w:tcPr>
            <w:tcW w:w="14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heme="minorEastAsia" w:hAnsiTheme="minorEastAsia" w:eastAsiaTheme="minorEastAsia" w:cstheme="minorHAnsi"/>
                <w:color w:val="000000"/>
                <w:kern w:val="0"/>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91.75%</w:t>
            </w:r>
          </w:p>
        </w:tc>
      </w:tr>
      <w:tr>
        <w:tblPrEx>
          <w:tblCellMar>
            <w:top w:w="0" w:type="dxa"/>
            <w:left w:w="108" w:type="dxa"/>
            <w:bottom w:w="0" w:type="dxa"/>
            <w:right w:w="108" w:type="dxa"/>
          </w:tblCellMar>
        </w:tblPrEx>
        <w:trPr>
          <w:trHeight w:val="329" w:hRule="atLeast"/>
        </w:trPr>
        <w:tc>
          <w:tcPr>
            <w:tcW w:w="467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孟鲁司特颗粒剂0.5g:4mg</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463360</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 xml:space="preserve">739522.56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936.16%</w:t>
            </w:r>
          </w:p>
        </w:tc>
        <w:tc>
          <w:tcPr>
            <w:tcW w:w="14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99.39%</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99.00%</w:t>
            </w:r>
          </w:p>
        </w:tc>
      </w:tr>
      <w:tr>
        <w:tblPrEx>
          <w:tblCellMar>
            <w:top w:w="0" w:type="dxa"/>
            <w:left w:w="108" w:type="dxa"/>
            <w:bottom w:w="0" w:type="dxa"/>
            <w:right w:w="108" w:type="dxa"/>
          </w:tblCellMar>
        </w:tblPrEx>
        <w:trPr>
          <w:trHeight w:val="329" w:hRule="atLeast"/>
        </w:trPr>
        <w:tc>
          <w:tcPr>
            <w:tcW w:w="467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匹伐他汀口服常释剂型1mg</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405678</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 xml:space="preserve">183949.95 </w:t>
            </w:r>
          </w:p>
        </w:tc>
        <w:tc>
          <w:tcPr>
            <w:tcW w:w="14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103.64%</w:t>
            </w:r>
          </w:p>
        </w:tc>
        <w:tc>
          <w:tcPr>
            <w:tcW w:w="146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94.90%</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76.57%</w:t>
            </w:r>
          </w:p>
        </w:tc>
      </w:tr>
      <w:tr>
        <w:tblPrEx>
          <w:tblCellMar>
            <w:top w:w="0" w:type="dxa"/>
            <w:left w:w="108" w:type="dxa"/>
            <w:bottom w:w="0" w:type="dxa"/>
            <w:right w:w="108" w:type="dxa"/>
          </w:tblCellMar>
        </w:tblPrEx>
        <w:trPr>
          <w:trHeight w:val="329" w:hRule="atLeast"/>
        </w:trPr>
        <w:tc>
          <w:tcPr>
            <w:tcW w:w="467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匹伐他汀口服常释剂型2mg</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5145518</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 xml:space="preserve">3965932.08 </w:t>
            </w:r>
          </w:p>
        </w:tc>
        <w:tc>
          <w:tcPr>
            <w:tcW w:w="14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heme="minorEastAsia" w:hAnsiTheme="minorEastAsia" w:eastAsiaTheme="minorEastAsia" w:cstheme="minorHAnsi"/>
                <w:color w:val="000000"/>
                <w:kern w:val="0"/>
                <w:sz w:val="24"/>
                <w:szCs w:val="24"/>
              </w:rPr>
            </w:pPr>
          </w:p>
        </w:tc>
        <w:tc>
          <w:tcPr>
            <w:tcW w:w="14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heme="minorEastAsia" w:hAnsiTheme="minorEastAsia" w:eastAsiaTheme="minorEastAsia" w:cstheme="minorHAnsi"/>
                <w:color w:val="000000"/>
                <w:kern w:val="0"/>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96.12%</w:t>
            </w:r>
          </w:p>
        </w:tc>
      </w:tr>
      <w:tr>
        <w:tblPrEx>
          <w:tblCellMar>
            <w:top w:w="0" w:type="dxa"/>
            <w:left w:w="108" w:type="dxa"/>
            <w:bottom w:w="0" w:type="dxa"/>
            <w:right w:w="108" w:type="dxa"/>
          </w:tblCellMar>
        </w:tblPrEx>
        <w:trPr>
          <w:trHeight w:val="329" w:hRule="atLeast"/>
        </w:trPr>
        <w:tc>
          <w:tcPr>
            <w:tcW w:w="467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普芦卡必利口服常释剂型1mg</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2040</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 xml:space="preserve">2125.85 </w:t>
            </w:r>
          </w:p>
        </w:tc>
        <w:tc>
          <w:tcPr>
            <w:tcW w:w="14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307.86%</w:t>
            </w:r>
          </w:p>
        </w:tc>
        <w:tc>
          <w:tcPr>
            <w:tcW w:w="146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97.05%</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34.69%</w:t>
            </w:r>
          </w:p>
        </w:tc>
      </w:tr>
      <w:tr>
        <w:tblPrEx>
          <w:tblCellMar>
            <w:top w:w="0" w:type="dxa"/>
            <w:left w:w="108" w:type="dxa"/>
            <w:bottom w:w="0" w:type="dxa"/>
            <w:right w:w="108" w:type="dxa"/>
          </w:tblCellMar>
        </w:tblPrEx>
        <w:trPr>
          <w:trHeight w:val="329" w:hRule="atLeast"/>
        </w:trPr>
        <w:tc>
          <w:tcPr>
            <w:tcW w:w="467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普芦卡必利口服常释剂型2mg</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26640</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 xml:space="preserve">47197.20 </w:t>
            </w:r>
          </w:p>
        </w:tc>
        <w:tc>
          <w:tcPr>
            <w:tcW w:w="14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heme="minorEastAsia" w:hAnsiTheme="minorEastAsia" w:eastAsiaTheme="minorEastAsia" w:cstheme="minorHAnsi"/>
                <w:color w:val="000000"/>
                <w:kern w:val="0"/>
                <w:sz w:val="24"/>
                <w:szCs w:val="24"/>
              </w:rPr>
            </w:pPr>
          </w:p>
        </w:tc>
        <w:tc>
          <w:tcPr>
            <w:tcW w:w="14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heme="minorEastAsia" w:hAnsiTheme="minorEastAsia" w:eastAsiaTheme="minorEastAsia" w:cstheme="minorHAnsi"/>
                <w:color w:val="000000"/>
                <w:kern w:val="0"/>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69.77%</w:t>
            </w:r>
          </w:p>
        </w:tc>
      </w:tr>
      <w:tr>
        <w:tblPrEx>
          <w:tblCellMar>
            <w:top w:w="0" w:type="dxa"/>
            <w:left w:w="108" w:type="dxa"/>
            <w:bottom w:w="0" w:type="dxa"/>
            <w:right w:w="108" w:type="dxa"/>
          </w:tblCellMar>
        </w:tblPrEx>
        <w:trPr>
          <w:trHeight w:val="329" w:hRule="atLeast"/>
        </w:trPr>
        <w:tc>
          <w:tcPr>
            <w:tcW w:w="467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曲美他嗪口服常释剂型20mg</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3844440</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 xml:space="preserve">368425.50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69.49%</w:t>
            </w:r>
          </w:p>
        </w:tc>
        <w:tc>
          <w:tcPr>
            <w:tcW w:w="14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98.64%</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99.94%</w:t>
            </w:r>
          </w:p>
        </w:tc>
      </w:tr>
      <w:tr>
        <w:tblPrEx>
          <w:tblCellMar>
            <w:top w:w="0" w:type="dxa"/>
            <w:left w:w="108" w:type="dxa"/>
            <w:bottom w:w="0" w:type="dxa"/>
            <w:right w:w="108" w:type="dxa"/>
          </w:tblCellMar>
        </w:tblPrEx>
        <w:trPr>
          <w:trHeight w:val="329" w:hRule="atLeast"/>
        </w:trPr>
        <w:tc>
          <w:tcPr>
            <w:tcW w:w="467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塞来昔布口服常释剂型0.2g</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2096490</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 xml:space="preserve">655502.54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76.49%</w:t>
            </w:r>
          </w:p>
        </w:tc>
        <w:tc>
          <w:tcPr>
            <w:tcW w:w="14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63.80%</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23.17%</w:t>
            </w:r>
          </w:p>
        </w:tc>
      </w:tr>
      <w:tr>
        <w:tblPrEx>
          <w:tblCellMar>
            <w:top w:w="0" w:type="dxa"/>
            <w:left w:w="108" w:type="dxa"/>
            <w:bottom w:w="0" w:type="dxa"/>
            <w:right w:w="108" w:type="dxa"/>
          </w:tblCellMar>
        </w:tblPrEx>
        <w:trPr>
          <w:trHeight w:val="329" w:hRule="atLeast"/>
        </w:trPr>
        <w:tc>
          <w:tcPr>
            <w:tcW w:w="467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舍曲林口服常释剂型50mg</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1865276</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 xml:space="preserve">2592733.64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115.41%</w:t>
            </w:r>
          </w:p>
        </w:tc>
        <w:tc>
          <w:tcPr>
            <w:tcW w:w="14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71.55%</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96.93%</w:t>
            </w:r>
          </w:p>
        </w:tc>
      </w:tr>
      <w:tr>
        <w:tblPrEx>
          <w:tblCellMar>
            <w:top w:w="0" w:type="dxa"/>
            <w:left w:w="108" w:type="dxa"/>
            <w:bottom w:w="0" w:type="dxa"/>
            <w:right w:w="108" w:type="dxa"/>
          </w:tblCellMar>
        </w:tblPrEx>
        <w:trPr>
          <w:trHeight w:val="329" w:hRule="atLeast"/>
        </w:trPr>
        <w:tc>
          <w:tcPr>
            <w:tcW w:w="467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坦洛新（坦索罗辛）缓释控释剂型0.2mg</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4171230</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 xml:space="preserve">2099519.10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196.18%</w:t>
            </w:r>
          </w:p>
        </w:tc>
        <w:tc>
          <w:tcPr>
            <w:tcW w:w="14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93.68%</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87.45%</w:t>
            </w:r>
          </w:p>
        </w:tc>
      </w:tr>
      <w:tr>
        <w:tblPrEx>
          <w:tblCellMar>
            <w:top w:w="0" w:type="dxa"/>
            <w:left w:w="108" w:type="dxa"/>
            <w:bottom w:w="0" w:type="dxa"/>
            <w:right w:w="108" w:type="dxa"/>
          </w:tblCellMar>
        </w:tblPrEx>
        <w:trPr>
          <w:trHeight w:val="329" w:hRule="atLeast"/>
        </w:trPr>
        <w:tc>
          <w:tcPr>
            <w:tcW w:w="467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碳酸氢钠口服常释剂型0.5g</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11696300</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 xml:space="preserve">1132201.84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84.64%</w:t>
            </w:r>
          </w:p>
        </w:tc>
        <w:tc>
          <w:tcPr>
            <w:tcW w:w="14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92.86%</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96.62%</w:t>
            </w:r>
          </w:p>
        </w:tc>
      </w:tr>
      <w:tr>
        <w:tblPrEx>
          <w:tblCellMar>
            <w:top w:w="0" w:type="dxa"/>
            <w:left w:w="108" w:type="dxa"/>
            <w:bottom w:w="0" w:type="dxa"/>
            <w:right w:w="108" w:type="dxa"/>
          </w:tblCellMar>
        </w:tblPrEx>
        <w:trPr>
          <w:trHeight w:val="329" w:hRule="atLeast"/>
        </w:trPr>
        <w:tc>
          <w:tcPr>
            <w:tcW w:w="467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替格瑞洛口服常释剂型90mg</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4116616</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 xml:space="preserve">9262386.00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143.74%</w:t>
            </w:r>
          </w:p>
        </w:tc>
        <w:tc>
          <w:tcPr>
            <w:tcW w:w="14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82.42%</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90.96%</w:t>
            </w:r>
          </w:p>
        </w:tc>
      </w:tr>
      <w:tr>
        <w:tblPrEx>
          <w:tblCellMar>
            <w:top w:w="0" w:type="dxa"/>
            <w:left w:w="108" w:type="dxa"/>
            <w:bottom w:w="0" w:type="dxa"/>
            <w:right w:w="108" w:type="dxa"/>
          </w:tblCellMar>
        </w:tblPrEx>
        <w:trPr>
          <w:trHeight w:val="329" w:hRule="atLeast"/>
        </w:trPr>
        <w:tc>
          <w:tcPr>
            <w:tcW w:w="467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托法替布口服常释剂型5mg</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325836</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 xml:space="preserve">1431351.00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4888.03%</w:t>
            </w:r>
          </w:p>
        </w:tc>
        <w:tc>
          <w:tcPr>
            <w:tcW w:w="14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92.87%</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98.28%</w:t>
            </w:r>
          </w:p>
        </w:tc>
      </w:tr>
      <w:tr>
        <w:tblPrEx>
          <w:tblCellMar>
            <w:top w:w="0" w:type="dxa"/>
            <w:left w:w="108" w:type="dxa"/>
            <w:bottom w:w="0" w:type="dxa"/>
            <w:right w:w="108" w:type="dxa"/>
          </w:tblCellMar>
        </w:tblPrEx>
        <w:trPr>
          <w:trHeight w:val="329" w:hRule="atLeast"/>
        </w:trPr>
        <w:tc>
          <w:tcPr>
            <w:tcW w:w="467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维格列汀口服常释剂型50mg</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751268</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 xml:space="preserve">590014.18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90.11%</w:t>
            </w:r>
          </w:p>
        </w:tc>
        <w:tc>
          <w:tcPr>
            <w:tcW w:w="14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93.94%</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91.50%</w:t>
            </w:r>
          </w:p>
        </w:tc>
      </w:tr>
      <w:tr>
        <w:tblPrEx>
          <w:tblCellMar>
            <w:top w:w="0" w:type="dxa"/>
            <w:left w:w="108" w:type="dxa"/>
            <w:bottom w:w="0" w:type="dxa"/>
            <w:right w:w="108" w:type="dxa"/>
          </w:tblCellMar>
        </w:tblPrEx>
        <w:trPr>
          <w:trHeight w:val="329" w:hRule="atLeast"/>
        </w:trPr>
        <w:tc>
          <w:tcPr>
            <w:tcW w:w="467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维生素B6口服常释剂型10mg</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6428000</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 xml:space="preserve">476314.80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86.98%</w:t>
            </w:r>
          </w:p>
        </w:tc>
        <w:tc>
          <w:tcPr>
            <w:tcW w:w="14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83.95%</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99.33%</w:t>
            </w:r>
          </w:p>
        </w:tc>
      </w:tr>
      <w:tr>
        <w:tblPrEx>
          <w:tblCellMar>
            <w:top w:w="0" w:type="dxa"/>
            <w:left w:w="108" w:type="dxa"/>
            <w:bottom w:w="0" w:type="dxa"/>
            <w:right w:w="108" w:type="dxa"/>
          </w:tblCellMar>
        </w:tblPrEx>
        <w:trPr>
          <w:trHeight w:val="329" w:hRule="atLeast"/>
        </w:trPr>
        <w:tc>
          <w:tcPr>
            <w:tcW w:w="467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西酞普兰口服常释剂型20mg</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272034</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 xml:space="preserve">698915.07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93.35%</w:t>
            </w:r>
          </w:p>
        </w:tc>
        <w:tc>
          <w:tcPr>
            <w:tcW w:w="14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64.09%</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83.34%</w:t>
            </w:r>
          </w:p>
        </w:tc>
      </w:tr>
      <w:tr>
        <w:tblPrEx>
          <w:tblCellMar>
            <w:top w:w="0" w:type="dxa"/>
            <w:left w:w="108" w:type="dxa"/>
            <w:bottom w:w="0" w:type="dxa"/>
            <w:right w:w="108" w:type="dxa"/>
          </w:tblCellMar>
        </w:tblPrEx>
        <w:trPr>
          <w:trHeight w:val="329" w:hRule="atLeast"/>
        </w:trPr>
        <w:tc>
          <w:tcPr>
            <w:tcW w:w="467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西替利嗪口服常释剂型10mg</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633654</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 xml:space="preserve">75686.45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74.49%</w:t>
            </w:r>
          </w:p>
        </w:tc>
        <w:tc>
          <w:tcPr>
            <w:tcW w:w="14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88.47%</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66.86%</w:t>
            </w:r>
          </w:p>
        </w:tc>
      </w:tr>
      <w:tr>
        <w:tblPrEx>
          <w:tblCellMar>
            <w:top w:w="0" w:type="dxa"/>
            <w:left w:w="108" w:type="dxa"/>
            <w:bottom w:w="0" w:type="dxa"/>
            <w:right w:w="108" w:type="dxa"/>
          </w:tblCellMar>
        </w:tblPrEx>
        <w:trPr>
          <w:trHeight w:val="329" w:hRule="atLeast"/>
        </w:trPr>
        <w:tc>
          <w:tcPr>
            <w:tcW w:w="467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缬沙坦口服常释剂型80mg</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8835120</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 xml:space="preserve">2117974.60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129.18%</w:t>
            </w:r>
          </w:p>
        </w:tc>
        <w:tc>
          <w:tcPr>
            <w:tcW w:w="14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86.79%</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97.67%</w:t>
            </w:r>
          </w:p>
        </w:tc>
      </w:tr>
      <w:tr>
        <w:tblPrEx>
          <w:tblCellMar>
            <w:top w:w="0" w:type="dxa"/>
            <w:left w:w="108" w:type="dxa"/>
            <w:bottom w:w="0" w:type="dxa"/>
            <w:right w:w="108" w:type="dxa"/>
          </w:tblCellMar>
        </w:tblPrEx>
        <w:trPr>
          <w:trHeight w:val="329" w:hRule="atLeast"/>
        </w:trPr>
        <w:tc>
          <w:tcPr>
            <w:tcW w:w="467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盐酸达泊西汀片剂30mg</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8038</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 xml:space="preserve">270800.22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226.17%</w:t>
            </w:r>
          </w:p>
        </w:tc>
        <w:tc>
          <w:tcPr>
            <w:tcW w:w="14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77.56%</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100.00%</w:t>
            </w:r>
          </w:p>
        </w:tc>
      </w:tr>
      <w:tr>
        <w:tblPrEx>
          <w:tblCellMar>
            <w:top w:w="0" w:type="dxa"/>
            <w:left w:w="108" w:type="dxa"/>
            <w:bottom w:w="0" w:type="dxa"/>
            <w:right w:w="108" w:type="dxa"/>
          </w:tblCellMar>
        </w:tblPrEx>
        <w:trPr>
          <w:trHeight w:val="329" w:hRule="atLeast"/>
        </w:trPr>
        <w:tc>
          <w:tcPr>
            <w:tcW w:w="467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依托考昔口服常释剂型30mg</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1475</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 xml:space="preserve">2206.60 </w:t>
            </w:r>
          </w:p>
        </w:tc>
        <w:tc>
          <w:tcPr>
            <w:tcW w:w="14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194.72%</w:t>
            </w:r>
          </w:p>
        </w:tc>
        <w:tc>
          <w:tcPr>
            <w:tcW w:w="146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90.58%</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66.74%</w:t>
            </w:r>
          </w:p>
        </w:tc>
      </w:tr>
      <w:tr>
        <w:tblPrEx>
          <w:tblCellMar>
            <w:top w:w="0" w:type="dxa"/>
            <w:left w:w="108" w:type="dxa"/>
            <w:bottom w:w="0" w:type="dxa"/>
            <w:right w:w="108" w:type="dxa"/>
          </w:tblCellMar>
        </w:tblPrEx>
        <w:trPr>
          <w:trHeight w:val="329" w:hRule="atLeast"/>
        </w:trPr>
        <w:tc>
          <w:tcPr>
            <w:tcW w:w="467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依托考昔口服常释剂型60mg</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334390</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 xml:space="preserve">850688.16 </w:t>
            </w:r>
          </w:p>
        </w:tc>
        <w:tc>
          <w:tcPr>
            <w:tcW w:w="14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heme="minorEastAsia" w:hAnsiTheme="minorEastAsia" w:eastAsiaTheme="minorEastAsia" w:cstheme="minorHAnsi"/>
                <w:color w:val="000000"/>
                <w:kern w:val="0"/>
                <w:sz w:val="24"/>
                <w:szCs w:val="24"/>
              </w:rPr>
            </w:pPr>
          </w:p>
        </w:tc>
        <w:tc>
          <w:tcPr>
            <w:tcW w:w="14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heme="minorEastAsia" w:hAnsiTheme="minorEastAsia" w:eastAsiaTheme="minorEastAsia" w:cstheme="minorHAnsi"/>
                <w:color w:val="000000"/>
                <w:kern w:val="0"/>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97.29%</w:t>
            </w:r>
          </w:p>
        </w:tc>
      </w:tr>
      <w:tr>
        <w:tblPrEx>
          <w:tblCellMar>
            <w:top w:w="0" w:type="dxa"/>
            <w:left w:w="108" w:type="dxa"/>
            <w:bottom w:w="0" w:type="dxa"/>
            <w:right w:w="108" w:type="dxa"/>
          </w:tblCellMar>
        </w:tblPrEx>
        <w:trPr>
          <w:trHeight w:val="329" w:hRule="atLeast"/>
        </w:trPr>
        <w:tc>
          <w:tcPr>
            <w:tcW w:w="467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依托考昔口服常释剂型120mg</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325</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 xml:space="preserve">1405.30 </w:t>
            </w:r>
          </w:p>
        </w:tc>
        <w:tc>
          <w:tcPr>
            <w:tcW w:w="141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heme="minorEastAsia" w:hAnsiTheme="minorEastAsia" w:eastAsiaTheme="minorEastAsia" w:cstheme="minorHAnsi"/>
                <w:color w:val="000000"/>
                <w:kern w:val="0"/>
                <w:sz w:val="24"/>
                <w:szCs w:val="24"/>
              </w:rPr>
            </w:pPr>
          </w:p>
        </w:tc>
        <w:tc>
          <w:tcPr>
            <w:tcW w:w="14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Theme="minorEastAsia" w:hAnsiTheme="minorEastAsia" w:eastAsiaTheme="minorEastAsia" w:cstheme="minorHAnsi"/>
                <w:color w:val="000000"/>
                <w:kern w:val="0"/>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49.24%</w:t>
            </w:r>
          </w:p>
        </w:tc>
      </w:tr>
      <w:tr>
        <w:tblPrEx>
          <w:tblCellMar>
            <w:top w:w="0" w:type="dxa"/>
            <w:left w:w="108" w:type="dxa"/>
            <w:bottom w:w="0" w:type="dxa"/>
            <w:right w:w="108" w:type="dxa"/>
          </w:tblCellMar>
        </w:tblPrEx>
        <w:trPr>
          <w:trHeight w:val="329" w:hRule="atLeast"/>
        </w:trPr>
        <w:tc>
          <w:tcPr>
            <w:tcW w:w="467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乙胺丁醇口服常释剂型0.25g</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5313200</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 xml:space="preserve">753411.76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94.90%</w:t>
            </w:r>
          </w:p>
        </w:tc>
        <w:tc>
          <w:tcPr>
            <w:tcW w:w="14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88.11%</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91.45%</w:t>
            </w:r>
          </w:p>
        </w:tc>
      </w:tr>
      <w:tr>
        <w:tblPrEx>
          <w:tblCellMar>
            <w:top w:w="0" w:type="dxa"/>
            <w:left w:w="108" w:type="dxa"/>
            <w:bottom w:w="0" w:type="dxa"/>
            <w:right w:w="108" w:type="dxa"/>
          </w:tblCellMar>
        </w:tblPrEx>
        <w:trPr>
          <w:trHeight w:val="329" w:hRule="atLeast"/>
        </w:trPr>
        <w:tc>
          <w:tcPr>
            <w:tcW w:w="467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右佐匹克隆口服常释剂型3mg</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1477476</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 xml:space="preserve">1193589.54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196.97%</w:t>
            </w:r>
          </w:p>
        </w:tc>
        <w:tc>
          <w:tcPr>
            <w:tcW w:w="14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99.08%</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53.99%</w:t>
            </w:r>
          </w:p>
        </w:tc>
      </w:tr>
      <w:tr>
        <w:tblPrEx>
          <w:tblCellMar>
            <w:top w:w="0" w:type="dxa"/>
            <w:left w:w="108" w:type="dxa"/>
            <w:bottom w:w="0" w:type="dxa"/>
            <w:right w:w="108" w:type="dxa"/>
          </w:tblCellMar>
        </w:tblPrEx>
        <w:trPr>
          <w:trHeight w:val="329" w:hRule="atLeast"/>
        </w:trPr>
        <w:tc>
          <w:tcPr>
            <w:tcW w:w="467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左乙拉西坦口服液体剂10%（150ml:15g）</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2049</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 xml:space="preserve">77862.00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60.59%</w:t>
            </w:r>
          </w:p>
        </w:tc>
        <w:tc>
          <w:tcPr>
            <w:tcW w:w="14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97.71%</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99.55%</w:t>
            </w:r>
          </w:p>
        </w:tc>
      </w:tr>
      <w:tr>
        <w:tblPrEx>
          <w:tblCellMar>
            <w:top w:w="0" w:type="dxa"/>
            <w:left w:w="108" w:type="dxa"/>
            <w:bottom w:w="0" w:type="dxa"/>
            <w:right w:w="108" w:type="dxa"/>
          </w:tblCellMar>
        </w:tblPrEx>
        <w:trPr>
          <w:trHeight w:val="329" w:hRule="atLeast"/>
        </w:trPr>
        <w:tc>
          <w:tcPr>
            <w:tcW w:w="467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左乙拉西坦注射用浓溶液5ml:500mg</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55615</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 xml:space="preserve">5478077.50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2276.50%</w:t>
            </w:r>
          </w:p>
        </w:tc>
        <w:tc>
          <w:tcPr>
            <w:tcW w:w="14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98.93%</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78.51%</w:t>
            </w:r>
          </w:p>
        </w:tc>
      </w:tr>
      <w:tr>
        <w:tblPrEx>
          <w:tblCellMar>
            <w:top w:w="0" w:type="dxa"/>
            <w:left w:w="108" w:type="dxa"/>
            <w:bottom w:w="0" w:type="dxa"/>
            <w:right w:w="108" w:type="dxa"/>
          </w:tblCellMar>
        </w:tblPrEx>
        <w:trPr>
          <w:trHeight w:val="329" w:hRule="atLeast"/>
        </w:trPr>
        <w:tc>
          <w:tcPr>
            <w:tcW w:w="467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阿莫西林颗粒剂0.125g</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3882192</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 xml:space="preserve">676148.44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177.77%</w:t>
            </w:r>
          </w:p>
        </w:tc>
        <w:tc>
          <w:tcPr>
            <w:tcW w:w="14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92.34%</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91.32%</w:t>
            </w:r>
          </w:p>
        </w:tc>
      </w:tr>
      <w:tr>
        <w:tblPrEx>
          <w:tblCellMar>
            <w:top w:w="0" w:type="dxa"/>
            <w:left w:w="108" w:type="dxa"/>
            <w:bottom w:w="0" w:type="dxa"/>
            <w:right w:w="108" w:type="dxa"/>
          </w:tblCellMar>
        </w:tblPrEx>
        <w:trPr>
          <w:trHeight w:val="329" w:hRule="atLeast"/>
        </w:trPr>
        <w:tc>
          <w:tcPr>
            <w:tcW w:w="467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利奈唑胺口服常释剂型600mg</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33552</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 xml:space="preserve">1571352.00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1022.93%</w:t>
            </w:r>
          </w:p>
        </w:tc>
        <w:tc>
          <w:tcPr>
            <w:tcW w:w="14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95.34%</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97.54%</w:t>
            </w:r>
          </w:p>
        </w:tc>
      </w:tr>
      <w:tr>
        <w:tblPrEx>
          <w:tblCellMar>
            <w:top w:w="0" w:type="dxa"/>
            <w:left w:w="108" w:type="dxa"/>
            <w:bottom w:w="0" w:type="dxa"/>
            <w:right w:w="108" w:type="dxa"/>
          </w:tblCellMar>
        </w:tblPrEx>
        <w:trPr>
          <w:trHeight w:val="329" w:hRule="atLeast"/>
        </w:trPr>
        <w:tc>
          <w:tcPr>
            <w:tcW w:w="467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莫西沙星注射液250ml:0.4g</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233490</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 xml:space="preserve">7658472.00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203.98%</w:t>
            </w:r>
          </w:p>
        </w:tc>
        <w:tc>
          <w:tcPr>
            <w:tcW w:w="14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79.30%</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92.93%</w:t>
            </w:r>
          </w:p>
        </w:tc>
      </w:tr>
      <w:tr>
        <w:tblPrEx>
          <w:tblCellMar>
            <w:top w:w="0" w:type="dxa"/>
            <w:left w:w="108" w:type="dxa"/>
            <w:bottom w:w="0" w:type="dxa"/>
            <w:right w:w="108" w:type="dxa"/>
          </w:tblCellMar>
        </w:tblPrEx>
        <w:trPr>
          <w:trHeight w:val="329" w:hRule="atLeast"/>
        </w:trPr>
        <w:tc>
          <w:tcPr>
            <w:tcW w:w="467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左氧氟沙星滴眼剂5ml:24.4mg</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309546</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 xml:space="preserve">2151344.70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127.68%</w:t>
            </w:r>
          </w:p>
        </w:tc>
        <w:tc>
          <w:tcPr>
            <w:tcW w:w="14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79.62%</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94.92%</w:t>
            </w:r>
          </w:p>
        </w:tc>
      </w:tr>
      <w:tr>
        <w:tblPrEx>
          <w:tblCellMar>
            <w:top w:w="0" w:type="dxa"/>
            <w:left w:w="108" w:type="dxa"/>
            <w:bottom w:w="0" w:type="dxa"/>
            <w:right w:w="108" w:type="dxa"/>
          </w:tblCellMar>
        </w:tblPrEx>
        <w:trPr>
          <w:trHeight w:val="329" w:hRule="atLeast"/>
        </w:trPr>
        <w:tc>
          <w:tcPr>
            <w:tcW w:w="467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环丙沙星口服常释剂型0.25g</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211692</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 xml:space="preserve">61390.68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108.18%</w:t>
            </w:r>
          </w:p>
        </w:tc>
        <w:tc>
          <w:tcPr>
            <w:tcW w:w="14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95.00%</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95.42%</w:t>
            </w:r>
          </w:p>
        </w:tc>
      </w:tr>
      <w:tr>
        <w:tblPrEx>
          <w:tblCellMar>
            <w:top w:w="0" w:type="dxa"/>
            <w:left w:w="108" w:type="dxa"/>
            <w:bottom w:w="0" w:type="dxa"/>
            <w:right w:w="108" w:type="dxa"/>
          </w:tblCellMar>
        </w:tblPrEx>
        <w:trPr>
          <w:trHeight w:val="329" w:hRule="atLeast"/>
        </w:trPr>
        <w:tc>
          <w:tcPr>
            <w:tcW w:w="467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头孢地尼口服常释剂型100mg</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1398804</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 xml:space="preserve">1361802.78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36.46%</w:t>
            </w:r>
          </w:p>
        </w:tc>
        <w:tc>
          <w:tcPr>
            <w:tcW w:w="14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93.68%</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89.55%</w:t>
            </w:r>
          </w:p>
        </w:tc>
      </w:tr>
      <w:tr>
        <w:tblPrEx>
          <w:tblCellMar>
            <w:top w:w="0" w:type="dxa"/>
            <w:left w:w="108" w:type="dxa"/>
            <w:bottom w:w="0" w:type="dxa"/>
            <w:right w:w="108" w:type="dxa"/>
          </w:tblCellMar>
        </w:tblPrEx>
        <w:trPr>
          <w:trHeight w:val="329" w:hRule="atLeast"/>
        </w:trPr>
        <w:tc>
          <w:tcPr>
            <w:tcW w:w="467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头孢克洛口服常释剂型0.25g</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1148532</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 xml:space="preserve">764730.89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114.06%</w:t>
            </w:r>
          </w:p>
        </w:tc>
        <w:tc>
          <w:tcPr>
            <w:tcW w:w="14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94.99%</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97.33%</w:t>
            </w:r>
          </w:p>
        </w:tc>
      </w:tr>
      <w:tr>
        <w:tblPrEx>
          <w:tblCellMar>
            <w:top w:w="0" w:type="dxa"/>
            <w:left w:w="108" w:type="dxa"/>
            <w:bottom w:w="0" w:type="dxa"/>
            <w:right w:w="108" w:type="dxa"/>
          </w:tblCellMar>
        </w:tblPrEx>
        <w:trPr>
          <w:trHeight w:val="329" w:hRule="atLeast"/>
        </w:trPr>
        <w:tc>
          <w:tcPr>
            <w:tcW w:w="467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克拉霉素口服常释剂型250mg</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1977512</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 xml:space="preserve">630331.95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154.38%</w:t>
            </w:r>
          </w:p>
        </w:tc>
        <w:tc>
          <w:tcPr>
            <w:tcW w:w="14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94.55%</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color w:val="000000"/>
                <w:kern w:val="0"/>
                <w:sz w:val="24"/>
                <w:szCs w:val="24"/>
              </w:rPr>
            </w:pPr>
            <w:r>
              <w:rPr>
                <w:rFonts w:asciiTheme="minorEastAsia" w:hAnsiTheme="minorEastAsia" w:eastAsiaTheme="minorEastAsia" w:cstheme="minorHAnsi"/>
                <w:color w:val="000000"/>
                <w:kern w:val="0"/>
                <w:sz w:val="24"/>
                <w:szCs w:val="24"/>
              </w:rPr>
              <w:t>86.88%</w:t>
            </w:r>
          </w:p>
        </w:tc>
      </w:tr>
      <w:tr>
        <w:tblPrEx>
          <w:tblCellMar>
            <w:top w:w="0" w:type="dxa"/>
            <w:left w:w="108" w:type="dxa"/>
            <w:bottom w:w="0" w:type="dxa"/>
            <w:right w:w="108" w:type="dxa"/>
          </w:tblCellMar>
        </w:tblPrEx>
        <w:trPr>
          <w:trHeight w:val="329" w:hRule="atLeast"/>
        </w:trPr>
        <w:tc>
          <w:tcPr>
            <w:tcW w:w="467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b/>
                <w:bCs/>
                <w:color w:val="000000"/>
                <w:kern w:val="0"/>
                <w:sz w:val="24"/>
                <w:szCs w:val="24"/>
              </w:rPr>
            </w:pPr>
            <w:r>
              <w:rPr>
                <w:rFonts w:asciiTheme="minorEastAsia" w:hAnsiTheme="minorEastAsia" w:eastAsiaTheme="minorEastAsia" w:cstheme="minorHAnsi"/>
                <w:b/>
                <w:bCs/>
                <w:color w:val="000000"/>
                <w:kern w:val="0"/>
                <w:sz w:val="24"/>
                <w:szCs w:val="24"/>
              </w:rPr>
              <w:t>汇总</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b/>
                <w:bCs/>
                <w:color w:val="000000"/>
                <w:kern w:val="0"/>
                <w:sz w:val="24"/>
                <w:szCs w:val="24"/>
              </w:rPr>
            </w:pPr>
            <w:r>
              <w:rPr>
                <w:rFonts w:asciiTheme="minorEastAsia" w:hAnsiTheme="minorEastAsia" w:eastAsiaTheme="minorEastAsia" w:cstheme="minorHAnsi"/>
                <w:b/>
                <w:bCs/>
                <w:color w:val="000000"/>
                <w:kern w:val="0"/>
                <w:sz w:val="24"/>
                <w:szCs w:val="24"/>
              </w:rPr>
              <w:t>217498212</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b/>
                <w:bCs/>
                <w:color w:val="000000"/>
                <w:kern w:val="0"/>
                <w:sz w:val="24"/>
                <w:szCs w:val="24"/>
              </w:rPr>
            </w:pPr>
            <w:r>
              <w:rPr>
                <w:rFonts w:asciiTheme="minorEastAsia" w:hAnsiTheme="minorEastAsia" w:eastAsiaTheme="minorEastAsia" w:cstheme="minorHAnsi"/>
                <w:b/>
                <w:bCs/>
                <w:color w:val="000000"/>
                <w:kern w:val="0"/>
                <w:sz w:val="24"/>
                <w:szCs w:val="24"/>
              </w:rPr>
              <w:t xml:space="preserve">99967947.31 </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b/>
                <w:bCs/>
                <w:color w:val="000000"/>
                <w:kern w:val="0"/>
                <w:sz w:val="24"/>
                <w:szCs w:val="24"/>
              </w:rPr>
            </w:pPr>
            <w:r>
              <w:rPr>
                <w:rFonts w:asciiTheme="minorEastAsia" w:hAnsiTheme="minorEastAsia" w:eastAsiaTheme="minorEastAsia" w:cstheme="minorHAnsi"/>
                <w:b/>
                <w:bCs/>
                <w:color w:val="000000"/>
                <w:kern w:val="0"/>
                <w:sz w:val="24"/>
                <w:szCs w:val="24"/>
              </w:rPr>
              <w:t>86.69%</w:t>
            </w:r>
          </w:p>
        </w:tc>
        <w:tc>
          <w:tcPr>
            <w:tcW w:w="14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b/>
                <w:bCs/>
                <w:color w:val="000000"/>
                <w:kern w:val="0"/>
                <w:sz w:val="24"/>
                <w:szCs w:val="24"/>
              </w:rPr>
            </w:pPr>
            <w:r>
              <w:rPr>
                <w:rFonts w:asciiTheme="minorEastAsia" w:hAnsiTheme="minorEastAsia" w:eastAsiaTheme="minorEastAsia" w:cstheme="minorHAnsi"/>
                <w:b/>
                <w:bCs/>
                <w:color w:val="000000"/>
                <w:kern w:val="0"/>
                <w:sz w:val="24"/>
                <w:szCs w:val="24"/>
              </w:rPr>
              <w:t>68.89%</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heme="minorEastAsia" w:hAnsiTheme="minorEastAsia" w:eastAsiaTheme="minorEastAsia" w:cstheme="minorHAnsi"/>
                <w:b/>
                <w:bCs/>
                <w:color w:val="000000"/>
                <w:kern w:val="0"/>
                <w:sz w:val="24"/>
                <w:szCs w:val="24"/>
              </w:rPr>
            </w:pPr>
            <w:r>
              <w:rPr>
                <w:rFonts w:asciiTheme="minorEastAsia" w:hAnsiTheme="minorEastAsia" w:eastAsiaTheme="minorEastAsia" w:cstheme="minorHAnsi"/>
                <w:b/>
                <w:bCs/>
                <w:color w:val="000000"/>
                <w:kern w:val="0"/>
                <w:sz w:val="24"/>
                <w:szCs w:val="24"/>
              </w:rPr>
              <w:t>64.19%</w:t>
            </w:r>
          </w:p>
        </w:tc>
      </w:tr>
    </w:tbl>
    <w:p>
      <w:pPr>
        <w:pStyle w:val="6"/>
        <w:spacing w:line="20" w:lineRule="exact"/>
        <w:ind w:firstLine="0" w:firstLineChars="0"/>
        <w:jc w:val="center"/>
        <w:outlineLvl w:val="0"/>
        <w:rPr>
          <w:rFonts w:ascii="黑体" w:eastAsia="黑体"/>
          <w:sz w:val="32"/>
        </w:rPr>
      </w:pPr>
      <w:r>
        <w:rPr>
          <w:rFonts w:ascii="黑体" w:eastAsia="黑体"/>
          <w:sz w:val="32"/>
        </w:rPr>
        <w:br w:type="page"/>
      </w:r>
    </w:p>
    <w:p>
      <w:pPr>
        <w:pStyle w:val="6"/>
        <w:spacing w:line="579" w:lineRule="exact"/>
        <w:ind w:firstLine="0" w:firstLineChars="0"/>
        <w:jc w:val="center"/>
        <w:outlineLvl w:val="0"/>
        <w:rPr>
          <w:rFonts w:ascii="黑体" w:eastAsia="黑体"/>
          <w:sz w:val="32"/>
        </w:rPr>
      </w:pPr>
      <w:r>
        <w:rPr>
          <w:rFonts w:ascii="黑体" w:eastAsia="黑体"/>
          <w:sz w:val="32"/>
        </w:rPr>
        <w:t>附表</w:t>
      </w:r>
      <w:r>
        <w:rPr>
          <w:rFonts w:hint="eastAsia" w:ascii="黑体" w:eastAsia="黑体"/>
          <w:sz w:val="32"/>
        </w:rPr>
        <w:t>4</w:t>
      </w:r>
      <w:r>
        <w:rPr>
          <w:rFonts w:ascii="黑体" w:eastAsia="黑体"/>
          <w:sz w:val="32"/>
        </w:rPr>
        <w:t>:第</w:t>
      </w:r>
      <w:r>
        <w:rPr>
          <w:rFonts w:hint="eastAsia" w:ascii="黑体" w:eastAsia="黑体"/>
          <w:sz w:val="32"/>
        </w:rPr>
        <w:t>一</w:t>
      </w:r>
      <w:r>
        <w:rPr>
          <w:rFonts w:ascii="黑体" w:eastAsia="黑体"/>
          <w:sz w:val="32"/>
        </w:rPr>
        <w:t>批</w:t>
      </w:r>
      <w:r>
        <w:rPr>
          <w:rFonts w:hint="eastAsia" w:ascii="黑体" w:eastAsia="黑体"/>
          <w:sz w:val="32"/>
        </w:rPr>
        <w:t>江西省</w:t>
      </w:r>
      <w:r>
        <w:rPr>
          <w:rFonts w:ascii="黑体" w:eastAsia="黑体"/>
          <w:sz w:val="32"/>
        </w:rPr>
        <w:t>组织药品</w:t>
      </w:r>
      <w:r>
        <w:rPr>
          <w:rFonts w:hint="eastAsia" w:ascii="黑体" w:eastAsia="黑体"/>
          <w:sz w:val="32"/>
        </w:rPr>
        <w:t>带量</w:t>
      </w:r>
      <w:r>
        <w:rPr>
          <w:rFonts w:ascii="黑体" w:eastAsia="黑体"/>
          <w:sz w:val="32"/>
        </w:rPr>
        <w:t>采购中选药品采购情况（截至</w:t>
      </w:r>
      <w:r>
        <w:rPr>
          <w:rFonts w:hint="eastAsia" w:ascii="黑体" w:eastAsia="黑体"/>
          <w:sz w:val="32"/>
        </w:rPr>
        <w:t>2021年</w:t>
      </w:r>
      <w:r>
        <w:rPr>
          <w:rFonts w:ascii="黑体" w:eastAsia="黑体"/>
          <w:sz w:val="32"/>
        </w:rPr>
        <w:t>4</w:t>
      </w:r>
      <w:r>
        <w:rPr>
          <w:rFonts w:hint="eastAsia" w:ascii="黑体" w:eastAsia="黑体"/>
          <w:sz w:val="32"/>
        </w:rPr>
        <w:t>月3</w:t>
      </w:r>
      <w:r>
        <w:rPr>
          <w:rFonts w:ascii="黑体" w:eastAsia="黑体"/>
          <w:sz w:val="32"/>
        </w:rPr>
        <w:t>0</w:t>
      </w:r>
      <w:r>
        <w:rPr>
          <w:rFonts w:hint="eastAsia" w:ascii="黑体" w:eastAsia="黑体"/>
          <w:sz w:val="32"/>
        </w:rPr>
        <w:t>日</w:t>
      </w:r>
      <w:r>
        <w:rPr>
          <w:rFonts w:ascii="黑体" w:eastAsia="黑体"/>
          <w:sz w:val="32"/>
        </w:rPr>
        <w:t>）</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0" w:type="dxa"/>
          <w:right w:w="15" w:type="dxa"/>
        </w:tblCellMar>
      </w:tblPr>
      <w:tblGrid>
        <w:gridCol w:w="2790"/>
        <w:gridCol w:w="3449"/>
        <w:gridCol w:w="722"/>
        <w:gridCol w:w="2392"/>
        <w:gridCol w:w="1239"/>
        <w:gridCol w:w="1189"/>
        <w:gridCol w:w="1136"/>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250" w:hRule="atLeast"/>
          <w:jc w:val="center"/>
        </w:trPr>
        <w:tc>
          <w:tcPr>
            <w:tcW w:w="997"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exact"/>
              <w:jc w:val="center"/>
              <w:textAlignment w:val="center"/>
              <w:rPr>
                <w:rFonts w:ascii="Times New Roman" w:hAnsi="Times New Roman" w:eastAsiaTheme="minorEastAsia"/>
                <w:b/>
                <w:sz w:val="24"/>
                <w:szCs w:val="24"/>
              </w:rPr>
            </w:pPr>
            <w:r>
              <w:rPr>
                <w:rFonts w:hint="eastAsia" w:ascii="Times New Roman" w:hAnsi="Times New Roman" w:eastAsiaTheme="minorEastAsia"/>
                <w:b/>
                <w:sz w:val="24"/>
                <w:szCs w:val="24"/>
              </w:rPr>
              <w:t>药品</w:t>
            </w:r>
          </w:p>
        </w:tc>
        <w:tc>
          <w:tcPr>
            <w:tcW w:w="12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exact"/>
              <w:jc w:val="center"/>
              <w:textAlignment w:val="center"/>
              <w:rPr>
                <w:rFonts w:ascii="Times New Roman" w:hAnsi="Times New Roman" w:eastAsiaTheme="minorEastAsia"/>
                <w:b/>
                <w:kern w:val="0"/>
                <w:sz w:val="24"/>
                <w:szCs w:val="24"/>
                <w:lang w:bidi="ar"/>
              </w:rPr>
            </w:pPr>
            <w:r>
              <w:rPr>
                <w:rFonts w:hint="eastAsia" w:ascii="Times New Roman" w:hAnsi="Times New Roman" w:eastAsiaTheme="minorEastAsia"/>
                <w:b/>
                <w:kern w:val="0"/>
                <w:sz w:val="24"/>
                <w:szCs w:val="24"/>
                <w:lang w:bidi="ar"/>
              </w:rPr>
              <w:t>企业</w:t>
            </w:r>
          </w:p>
        </w:tc>
        <w:tc>
          <w:tcPr>
            <w:tcW w:w="258" w:type="pct"/>
            <w:tcBorders>
              <w:top w:val="single" w:color="auto" w:sz="4" w:space="0"/>
              <w:left w:val="single" w:color="auto" w:sz="4" w:space="0"/>
              <w:bottom w:val="single" w:color="auto" w:sz="4" w:space="0"/>
              <w:right w:val="single" w:color="auto" w:sz="4" w:space="0"/>
            </w:tcBorders>
            <w:vAlign w:val="center"/>
          </w:tcPr>
          <w:p>
            <w:pPr>
              <w:spacing w:line="360" w:lineRule="exact"/>
              <w:jc w:val="left"/>
              <w:textAlignment w:val="center"/>
              <w:rPr>
                <w:rFonts w:hint="eastAsia" w:ascii="Times New Roman" w:hAnsi="Times New Roman" w:eastAsiaTheme="minorEastAsia"/>
                <w:b/>
                <w:sz w:val="24"/>
                <w:szCs w:val="24"/>
              </w:rPr>
            </w:pPr>
            <w:r>
              <w:rPr>
                <w:rFonts w:hint="eastAsia" w:ascii="Times New Roman" w:hAnsi="Times New Roman" w:eastAsiaTheme="minorEastAsia"/>
                <w:b/>
                <w:sz w:val="24"/>
                <w:szCs w:val="24"/>
              </w:rPr>
              <w:t>规定比例</w:t>
            </w:r>
          </w:p>
        </w:tc>
        <w:tc>
          <w:tcPr>
            <w:tcW w:w="855"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eastAsiaTheme="minorEastAsia"/>
                <w:b/>
                <w:sz w:val="24"/>
                <w:szCs w:val="24"/>
              </w:rPr>
            </w:pPr>
            <w:r>
              <w:rPr>
                <w:rFonts w:hint="eastAsia" w:ascii="Times New Roman" w:hAnsi="Times New Roman" w:eastAsiaTheme="minorEastAsia"/>
                <w:b/>
                <w:sz w:val="24"/>
                <w:szCs w:val="24"/>
              </w:rPr>
              <w:t>采购数量（片/支/袋）</w:t>
            </w:r>
          </w:p>
        </w:tc>
        <w:tc>
          <w:tcPr>
            <w:tcW w:w="443"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b/>
                <w:sz w:val="24"/>
                <w:szCs w:val="24"/>
              </w:rPr>
            </w:pPr>
            <w:r>
              <w:rPr>
                <w:rFonts w:hint="eastAsia" w:ascii="Times New Roman" w:hAnsi="Times New Roman"/>
                <w:b/>
                <w:sz w:val="24"/>
                <w:szCs w:val="24"/>
              </w:rPr>
              <w:t>采购金额（元）</w:t>
            </w:r>
          </w:p>
        </w:tc>
        <w:tc>
          <w:tcPr>
            <w:tcW w:w="425"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b/>
                <w:sz w:val="24"/>
                <w:szCs w:val="24"/>
              </w:rPr>
            </w:pPr>
            <w:r>
              <w:rPr>
                <w:rFonts w:hint="eastAsia" w:ascii="Times New Roman" w:hAnsi="Times New Roman"/>
                <w:b/>
                <w:sz w:val="24"/>
                <w:szCs w:val="24"/>
              </w:rPr>
              <w:t>完成进度</w:t>
            </w:r>
          </w:p>
        </w:tc>
        <w:tc>
          <w:tcPr>
            <w:tcW w:w="406"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b/>
                <w:sz w:val="24"/>
                <w:szCs w:val="24"/>
              </w:rPr>
            </w:pPr>
            <w:r>
              <w:rPr>
                <w:rFonts w:hint="eastAsia" w:ascii="Times New Roman" w:hAnsi="Times New Roman"/>
                <w:b/>
                <w:sz w:val="24"/>
                <w:szCs w:val="24"/>
              </w:rPr>
              <w:t>中选药占比</w:t>
            </w: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b/>
                <w:sz w:val="24"/>
                <w:szCs w:val="24"/>
              </w:rPr>
            </w:pPr>
            <w:r>
              <w:rPr>
                <w:rFonts w:hint="eastAsia" w:ascii="Times New Roman" w:hAnsi="Times New Roman"/>
                <w:b/>
                <w:sz w:val="24"/>
                <w:szCs w:val="24"/>
              </w:rPr>
              <w:t>网上配送率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357" w:hRule="exact"/>
          <w:jc w:val="center"/>
        </w:trPr>
        <w:tc>
          <w:tcPr>
            <w:tcW w:w="997"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exact"/>
              <w:jc w:val="center"/>
              <w:textAlignment w:val="center"/>
              <w:rPr>
                <w:rFonts w:ascii="Times New Roman" w:hAnsi="Times New Roman" w:eastAsiaTheme="minorEastAsia"/>
                <w:bCs/>
                <w:sz w:val="24"/>
                <w:szCs w:val="24"/>
              </w:rPr>
            </w:pPr>
            <w:r>
              <w:rPr>
                <w:rFonts w:hint="eastAsia" w:ascii="Times New Roman" w:hAnsi="Times New Roman" w:eastAsiaTheme="minorEastAsia"/>
                <w:bCs/>
                <w:sz w:val="24"/>
                <w:szCs w:val="24"/>
              </w:rPr>
              <w:t>注射用奥美拉唑钠40mg</w:t>
            </w:r>
          </w:p>
        </w:tc>
        <w:tc>
          <w:tcPr>
            <w:tcW w:w="12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exact"/>
              <w:jc w:val="center"/>
              <w:textAlignment w:val="center"/>
              <w:rPr>
                <w:rFonts w:ascii="Times New Roman" w:hAnsi="Times New Roman" w:eastAsiaTheme="minorEastAsia"/>
                <w:bCs/>
                <w:kern w:val="0"/>
                <w:sz w:val="24"/>
                <w:szCs w:val="24"/>
                <w:lang w:bidi="ar"/>
              </w:rPr>
            </w:pPr>
            <w:r>
              <w:rPr>
                <w:rFonts w:hint="eastAsia" w:ascii="Times New Roman" w:hAnsi="Times New Roman" w:eastAsiaTheme="minorEastAsia"/>
                <w:bCs/>
                <w:kern w:val="0"/>
                <w:sz w:val="24"/>
                <w:szCs w:val="24"/>
                <w:lang w:bidi="ar"/>
              </w:rPr>
              <w:t>宜昌人福药业有限责任公司</w:t>
            </w:r>
          </w:p>
        </w:tc>
        <w:tc>
          <w:tcPr>
            <w:tcW w:w="258" w:type="pct"/>
            <w:tcBorders>
              <w:top w:val="single" w:color="auto" w:sz="4" w:space="0"/>
              <w:left w:val="single" w:color="auto" w:sz="4" w:space="0"/>
              <w:bottom w:val="single" w:color="auto" w:sz="4" w:space="0"/>
              <w:right w:val="single" w:color="auto" w:sz="4" w:space="0"/>
            </w:tcBorders>
          </w:tcPr>
          <w:p>
            <w:pPr>
              <w:spacing w:line="360" w:lineRule="exact"/>
              <w:jc w:val="center"/>
              <w:textAlignment w:val="center"/>
              <w:rPr>
                <w:rFonts w:hint="eastAsia" w:ascii="Times New Roman" w:hAnsi="Times New Roman" w:eastAsiaTheme="minorEastAsia"/>
                <w:bCs/>
                <w:kern w:val="0"/>
                <w:sz w:val="24"/>
                <w:szCs w:val="24"/>
                <w:lang w:bidi="ar"/>
              </w:rPr>
            </w:pPr>
            <w:r>
              <w:rPr>
                <w:rFonts w:hint="eastAsia" w:ascii="Times New Roman" w:hAnsi="Times New Roman" w:eastAsiaTheme="minorEastAsia"/>
                <w:bCs/>
                <w:kern w:val="0"/>
                <w:sz w:val="24"/>
                <w:szCs w:val="24"/>
                <w:lang w:bidi="ar"/>
              </w:rPr>
              <w:t>5</w:t>
            </w:r>
            <w:r>
              <w:rPr>
                <w:rFonts w:ascii="Times New Roman" w:hAnsi="Times New Roman" w:eastAsiaTheme="minorEastAsia"/>
                <w:bCs/>
                <w:kern w:val="0"/>
                <w:sz w:val="24"/>
                <w:szCs w:val="24"/>
                <w:lang w:bidi="ar"/>
              </w:rPr>
              <w:t>0</w:t>
            </w:r>
            <w:r>
              <w:rPr>
                <w:rFonts w:hint="eastAsia" w:ascii="Times New Roman" w:hAnsi="Times New Roman" w:eastAsiaTheme="minorEastAsia"/>
                <w:bCs/>
                <w:kern w:val="0"/>
                <w:sz w:val="24"/>
                <w:szCs w:val="24"/>
                <w:lang w:bidi="ar"/>
              </w:rPr>
              <w:t>%</w:t>
            </w:r>
          </w:p>
        </w:tc>
        <w:tc>
          <w:tcPr>
            <w:tcW w:w="855"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eastAsiaTheme="minorEastAsia"/>
                <w:bCs/>
                <w:kern w:val="0"/>
                <w:sz w:val="24"/>
                <w:szCs w:val="24"/>
                <w:lang w:bidi="ar"/>
              </w:rPr>
            </w:pPr>
            <w:r>
              <w:rPr>
                <w:rFonts w:hint="eastAsia" w:ascii="Times New Roman" w:hAnsi="Times New Roman" w:eastAsiaTheme="minorEastAsia"/>
                <w:bCs/>
                <w:kern w:val="0"/>
                <w:sz w:val="24"/>
                <w:szCs w:val="24"/>
                <w:lang w:bidi="ar"/>
              </w:rPr>
              <w:t>1328750</w:t>
            </w:r>
          </w:p>
        </w:tc>
        <w:tc>
          <w:tcPr>
            <w:tcW w:w="443"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bCs/>
                <w:sz w:val="24"/>
                <w:szCs w:val="24"/>
              </w:rPr>
            </w:pPr>
            <w:r>
              <w:rPr>
                <w:rFonts w:hint="eastAsia" w:ascii="Times New Roman" w:hAnsi="Times New Roman"/>
                <w:bCs/>
                <w:sz w:val="24"/>
                <w:szCs w:val="24"/>
              </w:rPr>
              <w:t>3255437.5</w:t>
            </w:r>
          </w:p>
        </w:tc>
        <w:tc>
          <w:tcPr>
            <w:tcW w:w="425"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bCs/>
                <w:sz w:val="24"/>
                <w:szCs w:val="24"/>
              </w:rPr>
            </w:pPr>
            <w:r>
              <w:rPr>
                <w:rFonts w:hint="eastAsia" w:ascii="Times New Roman" w:hAnsi="Times New Roman"/>
                <w:bCs/>
                <w:sz w:val="24"/>
                <w:szCs w:val="24"/>
              </w:rPr>
              <w:t>58.92%</w:t>
            </w:r>
          </w:p>
        </w:tc>
        <w:tc>
          <w:tcPr>
            <w:tcW w:w="406"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bCs/>
                <w:sz w:val="24"/>
                <w:szCs w:val="24"/>
              </w:rPr>
            </w:pPr>
            <w:r>
              <w:rPr>
                <w:rFonts w:hint="eastAsia" w:ascii="Times New Roman" w:hAnsi="Times New Roman"/>
                <w:bCs/>
                <w:sz w:val="24"/>
                <w:szCs w:val="24"/>
              </w:rPr>
              <w:t>57.22%</w:t>
            </w: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bCs/>
                <w:sz w:val="24"/>
                <w:szCs w:val="24"/>
              </w:rPr>
            </w:pPr>
            <w:r>
              <w:rPr>
                <w:rFonts w:hint="eastAsia" w:ascii="Times New Roman" w:hAnsi="Times New Roman"/>
                <w:bCs/>
                <w:sz w:val="24"/>
                <w:szCs w:val="24"/>
              </w:rPr>
              <w:t>42.58%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357" w:hRule="exact"/>
          <w:jc w:val="center"/>
        </w:trPr>
        <w:tc>
          <w:tcPr>
            <w:tcW w:w="997"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exact"/>
              <w:jc w:val="center"/>
              <w:textAlignment w:val="center"/>
              <w:rPr>
                <w:rFonts w:ascii="Times New Roman" w:hAnsi="Times New Roman" w:eastAsiaTheme="minorEastAsia"/>
                <w:bCs/>
                <w:sz w:val="24"/>
                <w:szCs w:val="24"/>
              </w:rPr>
            </w:pPr>
            <w:r>
              <w:rPr>
                <w:rFonts w:hint="eastAsia" w:ascii="Times New Roman" w:hAnsi="Times New Roman" w:eastAsiaTheme="minorEastAsia"/>
                <w:bCs/>
                <w:sz w:val="24"/>
                <w:szCs w:val="24"/>
              </w:rPr>
              <w:t>注射用奥美拉唑钠40mg</w:t>
            </w:r>
          </w:p>
        </w:tc>
        <w:tc>
          <w:tcPr>
            <w:tcW w:w="12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exact"/>
              <w:jc w:val="center"/>
              <w:textAlignment w:val="center"/>
              <w:rPr>
                <w:rFonts w:ascii="Times New Roman" w:hAnsi="Times New Roman" w:eastAsiaTheme="minorEastAsia"/>
                <w:bCs/>
                <w:kern w:val="0"/>
                <w:sz w:val="24"/>
                <w:szCs w:val="24"/>
                <w:lang w:bidi="ar"/>
              </w:rPr>
            </w:pPr>
            <w:r>
              <w:rPr>
                <w:rFonts w:hint="eastAsia" w:ascii="Times New Roman" w:hAnsi="Times New Roman" w:eastAsiaTheme="minorEastAsia"/>
                <w:bCs/>
                <w:kern w:val="0"/>
                <w:sz w:val="24"/>
                <w:szCs w:val="24"/>
                <w:lang w:bidi="ar"/>
              </w:rPr>
              <w:t>阿斯利康制药有限公司</w:t>
            </w:r>
          </w:p>
        </w:tc>
        <w:tc>
          <w:tcPr>
            <w:tcW w:w="258" w:type="pct"/>
            <w:tcBorders>
              <w:top w:val="single" w:color="auto" w:sz="4" w:space="0"/>
              <w:left w:val="single" w:color="auto" w:sz="4" w:space="0"/>
              <w:bottom w:val="single" w:color="auto" w:sz="4" w:space="0"/>
              <w:right w:val="single" w:color="auto" w:sz="4" w:space="0"/>
            </w:tcBorders>
          </w:tcPr>
          <w:p>
            <w:pPr>
              <w:spacing w:line="280" w:lineRule="exact"/>
              <w:jc w:val="center"/>
              <w:rPr>
                <w:rFonts w:hint="eastAsia" w:ascii="Times New Roman" w:hAnsi="Times New Roman"/>
                <w:bCs/>
                <w:sz w:val="24"/>
                <w:szCs w:val="24"/>
              </w:rPr>
            </w:pPr>
            <w:r>
              <w:rPr>
                <w:rFonts w:hint="eastAsia" w:ascii="Times New Roman" w:hAnsi="Times New Roman"/>
                <w:bCs/>
                <w:sz w:val="24"/>
                <w:szCs w:val="24"/>
              </w:rPr>
              <w:t>2</w:t>
            </w:r>
            <w:r>
              <w:rPr>
                <w:rFonts w:ascii="Times New Roman" w:hAnsi="Times New Roman"/>
                <w:bCs/>
                <w:sz w:val="24"/>
                <w:szCs w:val="24"/>
              </w:rPr>
              <w:t>5</w:t>
            </w:r>
            <w:r>
              <w:rPr>
                <w:rFonts w:hint="eastAsia" w:ascii="Times New Roman" w:hAnsi="Times New Roman"/>
                <w:bCs/>
                <w:sz w:val="24"/>
                <w:szCs w:val="24"/>
              </w:rPr>
              <w:t>%</w:t>
            </w:r>
          </w:p>
        </w:tc>
        <w:tc>
          <w:tcPr>
            <w:tcW w:w="855"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bCs/>
                <w:sz w:val="24"/>
                <w:szCs w:val="24"/>
              </w:rPr>
            </w:pPr>
            <w:r>
              <w:rPr>
                <w:rFonts w:hint="eastAsia" w:ascii="Times New Roman" w:hAnsi="Times New Roman"/>
                <w:bCs/>
                <w:sz w:val="24"/>
                <w:szCs w:val="24"/>
              </w:rPr>
              <w:t>741609</w:t>
            </w:r>
          </w:p>
        </w:tc>
        <w:tc>
          <w:tcPr>
            <w:tcW w:w="443"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bCs/>
                <w:sz w:val="24"/>
                <w:szCs w:val="24"/>
              </w:rPr>
            </w:pPr>
            <w:r>
              <w:rPr>
                <w:rFonts w:hint="eastAsia" w:ascii="Times New Roman" w:hAnsi="Times New Roman"/>
                <w:bCs/>
                <w:sz w:val="24"/>
                <w:szCs w:val="24"/>
              </w:rPr>
              <w:t>42494195.7</w:t>
            </w:r>
          </w:p>
        </w:tc>
        <w:tc>
          <w:tcPr>
            <w:tcW w:w="425"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bCs/>
                <w:sz w:val="24"/>
                <w:szCs w:val="24"/>
              </w:rPr>
            </w:pPr>
            <w:r>
              <w:rPr>
                <w:rFonts w:hint="eastAsia" w:ascii="Times New Roman" w:hAnsi="Times New Roman"/>
                <w:bCs/>
                <w:sz w:val="24"/>
                <w:szCs w:val="24"/>
              </w:rPr>
              <w:t>65.77%</w:t>
            </w:r>
          </w:p>
        </w:tc>
        <w:tc>
          <w:tcPr>
            <w:tcW w:w="406"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bCs/>
                <w:sz w:val="24"/>
                <w:szCs w:val="24"/>
              </w:rPr>
            </w:pPr>
            <w:r>
              <w:rPr>
                <w:rFonts w:hint="eastAsia" w:ascii="Times New Roman" w:hAnsi="Times New Roman"/>
                <w:bCs/>
                <w:sz w:val="24"/>
                <w:szCs w:val="24"/>
              </w:rPr>
              <w:t>31.94%</w:t>
            </w: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bCs/>
                <w:sz w:val="24"/>
                <w:szCs w:val="24"/>
              </w:rPr>
            </w:pPr>
            <w:r>
              <w:rPr>
                <w:rFonts w:hint="eastAsia" w:ascii="Times New Roman" w:hAnsi="Times New Roman"/>
                <w:bCs/>
                <w:sz w:val="24"/>
                <w:szCs w:val="24"/>
              </w:rPr>
              <w:t>96.99%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357" w:hRule="exact"/>
          <w:jc w:val="center"/>
        </w:trPr>
        <w:tc>
          <w:tcPr>
            <w:tcW w:w="997"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exact"/>
              <w:jc w:val="center"/>
              <w:textAlignment w:val="center"/>
              <w:rPr>
                <w:rFonts w:ascii="Times New Roman" w:hAnsi="Times New Roman" w:eastAsiaTheme="minorEastAsia"/>
                <w:bCs/>
                <w:sz w:val="24"/>
                <w:szCs w:val="24"/>
              </w:rPr>
            </w:pPr>
            <w:r>
              <w:rPr>
                <w:rFonts w:hint="eastAsia" w:ascii="Times New Roman" w:hAnsi="Times New Roman" w:eastAsiaTheme="minorEastAsia"/>
                <w:bCs/>
                <w:sz w:val="24"/>
                <w:szCs w:val="24"/>
              </w:rPr>
              <w:t>注射用泮托拉唑钠40mg</w:t>
            </w:r>
          </w:p>
        </w:tc>
        <w:tc>
          <w:tcPr>
            <w:tcW w:w="12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exact"/>
              <w:jc w:val="center"/>
              <w:textAlignment w:val="center"/>
              <w:rPr>
                <w:rFonts w:ascii="Times New Roman" w:hAnsi="Times New Roman" w:eastAsiaTheme="minorEastAsia"/>
                <w:bCs/>
                <w:kern w:val="0"/>
                <w:sz w:val="24"/>
                <w:szCs w:val="24"/>
                <w:lang w:bidi="ar"/>
              </w:rPr>
            </w:pPr>
            <w:r>
              <w:rPr>
                <w:rFonts w:hint="eastAsia" w:ascii="Times New Roman" w:hAnsi="Times New Roman" w:eastAsiaTheme="minorEastAsia"/>
                <w:bCs/>
                <w:kern w:val="0"/>
                <w:sz w:val="24"/>
                <w:szCs w:val="24"/>
                <w:lang w:bidi="ar"/>
              </w:rPr>
              <w:t>成都百裕制药股份有限公司</w:t>
            </w:r>
          </w:p>
        </w:tc>
        <w:tc>
          <w:tcPr>
            <w:tcW w:w="258" w:type="pct"/>
            <w:tcBorders>
              <w:top w:val="single" w:color="auto" w:sz="4" w:space="0"/>
              <w:left w:val="single" w:color="auto" w:sz="4" w:space="0"/>
              <w:bottom w:val="single" w:color="auto" w:sz="4" w:space="0"/>
              <w:right w:val="single" w:color="auto" w:sz="4" w:space="0"/>
            </w:tcBorders>
          </w:tcPr>
          <w:p>
            <w:pPr>
              <w:spacing w:line="280" w:lineRule="exact"/>
              <w:jc w:val="center"/>
              <w:rPr>
                <w:rFonts w:hint="eastAsia" w:ascii="Times New Roman" w:hAnsi="Times New Roman"/>
                <w:bCs/>
                <w:sz w:val="24"/>
                <w:szCs w:val="24"/>
              </w:rPr>
            </w:pPr>
            <w:r>
              <w:rPr>
                <w:rFonts w:hint="eastAsia" w:ascii="Times New Roman" w:hAnsi="Times New Roman"/>
                <w:bCs/>
                <w:sz w:val="24"/>
                <w:szCs w:val="24"/>
              </w:rPr>
              <w:t>5</w:t>
            </w:r>
            <w:r>
              <w:rPr>
                <w:rFonts w:ascii="Times New Roman" w:hAnsi="Times New Roman"/>
                <w:bCs/>
                <w:sz w:val="24"/>
                <w:szCs w:val="24"/>
              </w:rPr>
              <w:t>0</w:t>
            </w:r>
            <w:r>
              <w:rPr>
                <w:rFonts w:hint="eastAsia" w:ascii="Times New Roman" w:hAnsi="Times New Roman"/>
                <w:bCs/>
                <w:sz w:val="24"/>
                <w:szCs w:val="24"/>
              </w:rPr>
              <w:t>%</w:t>
            </w:r>
          </w:p>
        </w:tc>
        <w:tc>
          <w:tcPr>
            <w:tcW w:w="855"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bCs/>
                <w:sz w:val="24"/>
                <w:szCs w:val="24"/>
              </w:rPr>
            </w:pPr>
            <w:r>
              <w:rPr>
                <w:rFonts w:hint="eastAsia" w:ascii="Times New Roman" w:hAnsi="Times New Roman"/>
                <w:bCs/>
                <w:sz w:val="24"/>
                <w:szCs w:val="24"/>
              </w:rPr>
              <w:t>391686</w:t>
            </w:r>
          </w:p>
        </w:tc>
        <w:tc>
          <w:tcPr>
            <w:tcW w:w="443"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bCs/>
                <w:sz w:val="24"/>
                <w:szCs w:val="24"/>
              </w:rPr>
            </w:pPr>
            <w:r>
              <w:rPr>
                <w:rFonts w:hint="eastAsia" w:ascii="Times New Roman" w:hAnsi="Times New Roman"/>
                <w:bCs/>
                <w:sz w:val="24"/>
                <w:szCs w:val="24"/>
              </w:rPr>
              <w:t>509191.8</w:t>
            </w:r>
          </w:p>
        </w:tc>
        <w:tc>
          <w:tcPr>
            <w:tcW w:w="425" w:type="pct"/>
            <w:vMerge w:val="restart"/>
            <w:tcBorders>
              <w:top w:val="single" w:color="auto" w:sz="4" w:space="0"/>
              <w:left w:val="single" w:color="auto" w:sz="4" w:space="0"/>
              <w:right w:val="single" w:color="auto" w:sz="4" w:space="0"/>
            </w:tcBorders>
            <w:shd w:val="clear" w:color="auto" w:fill="auto"/>
            <w:noWrap/>
            <w:vAlign w:val="center"/>
          </w:tcPr>
          <w:p>
            <w:pPr>
              <w:spacing w:line="280" w:lineRule="exact"/>
              <w:jc w:val="center"/>
              <w:rPr>
                <w:rFonts w:ascii="Times New Roman" w:hAnsi="Times New Roman"/>
                <w:bCs/>
                <w:sz w:val="24"/>
                <w:szCs w:val="24"/>
              </w:rPr>
            </w:pPr>
            <w:r>
              <w:rPr>
                <w:rFonts w:hint="eastAsia" w:ascii="Times New Roman" w:hAnsi="Times New Roman"/>
                <w:bCs/>
                <w:sz w:val="24"/>
                <w:szCs w:val="24"/>
              </w:rPr>
              <w:t>32.08%（以40mg计）</w:t>
            </w:r>
          </w:p>
        </w:tc>
        <w:tc>
          <w:tcPr>
            <w:tcW w:w="406" w:type="pct"/>
            <w:vMerge w:val="restart"/>
            <w:tcBorders>
              <w:top w:val="single" w:color="auto" w:sz="4" w:space="0"/>
              <w:left w:val="single" w:color="auto" w:sz="4" w:space="0"/>
              <w:right w:val="single" w:color="auto" w:sz="4" w:space="0"/>
            </w:tcBorders>
            <w:shd w:val="clear" w:color="auto" w:fill="auto"/>
            <w:noWrap/>
            <w:vAlign w:val="center"/>
          </w:tcPr>
          <w:p>
            <w:pPr>
              <w:spacing w:line="280" w:lineRule="exact"/>
              <w:jc w:val="center"/>
              <w:rPr>
                <w:rFonts w:ascii="Times New Roman" w:hAnsi="Times New Roman"/>
                <w:bCs/>
                <w:sz w:val="24"/>
                <w:szCs w:val="24"/>
              </w:rPr>
            </w:pPr>
            <w:r>
              <w:rPr>
                <w:rFonts w:hint="eastAsia" w:ascii="Times New Roman" w:hAnsi="Times New Roman"/>
                <w:bCs/>
                <w:sz w:val="24"/>
                <w:szCs w:val="24"/>
              </w:rPr>
              <w:t>54.47%（以40mg计）</w:t>
            </w: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bCs/>
                <w:sz w:val="24"/>
                <w:szCs w:val="24"/>
              </w:rPr>
            </w:pPr>
            <w:r>
              <w:rPr>
                <w:rFonts w:hint="eastAsia" w:ascii="Times New Roman" w:hAnsi="Times New Roman"/>
                <w:bCs/>
                <w:sz w:val="24"/>
                <w:szCs w:val="24"/>
              </w:rPr>
              <w:t>96.74%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357" w:hRule="exact"/>
          <w:jc w:val="center"/>
        </w:trPr>
        <w:tc>
          <w:tcPr>
            <w:tcW w:w="997"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exact"/>
              <w:jc w:val="center"/>
              <w:textAlignment w:val="center"/>
              <w:rPr>
                <w:rFonts w:ascii="Times New Roman" w:hAnsi="Times New Roman" w:eastAsiaTheme="minorEastAsia"/>
                <w:bCs/>
                <w:sz w:val="24"/>
                <w:szCs w:val="24"/>
              </w:rPr>
            </w:pPr>
            <w:r>
              <w:rPr>
                <w:rFonts w:hint="eastAsia" w:ascii="Times New Roman" w:hAnsi="Times New Roman" w:eastAsiaTheme="minorEastAsia"/>
                <w:bCs/>
                <w:sz w:val="24"/>
                <w:szCs w:val="24"/>
              </w:rPr>
              <w:t>注射用泮托拉唑钠80mg</w:t>
            </w:r>
          </w:p>
        </w:tc>
        <w:tc>
          <w:tcPr>
            <w:tcW w:w="12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exact"/>
              <w:jc w:val="center"/>
              <w:textAlignment w:val="center"/>
              <w:rPr>
                <w:rFonts w:ascii="Times New Roman" w:hAnsi="Times New Roman" w:eastAsiaTheme="minorEastAsia"/>
                <w:bCs/>
                <w:kern w:val="0"/>
                <w:sz w:val="24"/>
                <w:szCs w:val="24"/>
                <w:lang w:bidi="ar"/>
              </w:rPr>
            </w:pPr>
            <w:r>
              <w:rPr>
                <w:rFonts w:hint="eastAsia" w:ascii="Times New Roman" w:hAnsi="Times New Roman" w:eastAsiaTheme="minorEastAsia"/>
                <w:bCs/>
                <w:kern w:val="0"/>
                <w:sz w:val="24"/>
                <w:szCs w:val="24"/>
                <w:lang w:bidi="ar"/>
              </w:rPr>
              <w:t>成都百裕制药股份有限公司</w:t>
            </w:r>
          </w:p>
        </w:tc>
        <w:tc>
          <w:tcPr>
            <w:tcW w:w="258" w:type="pct"/>
            <w:tcBorders>
              <w:top w:val="single" w:color="auto" w:sz="4" w:space="0"/>
              <w:left w:val="single" w:color="auto" w:sz="4" w:space="0"/>
              <w:bottom w:val="single" w:color="auto" w:sz="4" w:space="0"/>
              <w:right w:val="single" w:color="auto" w:sz="4" w:space="0"/>
            </w:tcBorders>
          </w:tcPr>
          <w:p>
            <w:pPr>
              <w:spacing w:line="280" w:lineRule="exact"/>
              <w:jc w:val="center"/>
              <w:rPr>
                <w:rFonts w:hint="eastAsia" w:ascii="Times New Roman" w:hAnsi="Times New Roman"/>
                <w:bCs/>
                <w:sz w:val="24"/>
                <w:szCs w:val="24"/>
              </w:rPr>
            </w:pPr>
            <w:r>
              <w:rPr>
                <w:rFonts w:hint="eastAsia" w:ascii="Times New Roman" w:hAnsi="Times New Roman"/>
                <w:bCs/>
                <w:sz w:val="24"/>
                <w:szCs w:val="24"/>
              </w:rPr>
              <w:t>5</w:t>
            </w:r>
            <w:r>
              <w:rPr>
                <w:rFonts w:ascii="Times New Roman" w:hAnsi="Times New Roman"/>
                <w:bCs/>
                <w:sz w:val="24"/>
                <w:szCs w:val="24"/>
              </w:rPr>
              <w:t>0</w:t>
            </w:r>
            <w:r>
              <w:rPr>
                <w:rFonts w:hint="eastAsia" w:ascii="Times New Roman" w:hAnsi="Times New Roman"/>
                <w:bCs/>
                <w:sz w:val="24"/>
                <w:szCs w:val="24"/>
              </w:rPr>
              <w:t>%</w:t>
            </w:r>
          </w:p>
        </w:tc>
        <w:tc>
          <w:tcPr>
            <w:tcW w:w="855"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bCs/>
                <w:sz w:val="24"/>
                <w:szCs w:val="24"/>
              </w:rPr>
            </w:pPr>
            <w:r>
              <w:rPr>
                <w:rFonts w:hint="eastAsia" w:ascii="Times New Roman" w:hAnsi="Times New Roman"/>
                <w:bCs/>
                <w:sz w:val="24"/>
                <w:szCs w:val="24"/>
              </w:rPr>
              <w:t>30638</w:t>
            </w:r>
          </w:p>
        </w:tc>
        <w:tc>
          <w:tcPr>
            <w:tcW w:w="443"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bCs/>
                <w:sz w:val="24"/>
                <w:szCs w:val="24"/>
              </w:rPr>
            </w:pPr>
            <w:r>
              <w:rPr>
                <w:rFonts w:hint="eastAsia" w:ascii="Times New Roman" w:hAnsi="Times New Roman"/>
                <w:bCs/>
                <w:sz w:val="24"/>
                <w:szCs w:val="24"/>
              </w:rPr>
              <w:t>67709.98</w:t>
            </w:r>
          </w:p>
        </w:tc>
        <w:tc>
          <w:tcPr>
            <w:tcW w:w="425" w:type="pct"/>
            <w:vMerge w:val="continue"/>
            <w:tcBorders>
              <w:left w:val="single" w:color="auto" w:sz="4" w:space="0"/>
              <w:bottom w:val="single" w:color="auto" w:sz="4" w:space="0"/>
              <w:right w:val="single" w:color="auto" w:sz="4" w:space="0"/>
            </w:tcBorders>
            <w:noWrap/>
            <w:vAlign w:val="center"/>
          </w:tcPr>
          <w:p>
            <w:pPr>
              <w:spacing w:line="280" w:lineRule="exact"/>
              <w:jc w:val="center"/>
              <w:rPr>
                <w:rFonts w:ascii="Times New Roman" w:hAnsi="Times New Roman"/>
                <w:bCs/>
                <w:sz w:val="24"/>
                <w:szCs w:val="24"/>
              </w:rPr>
            </w:pPr>
          </w:p>
        </w:tc>
        <w:tc>
          <w:tcPr>
            <w:tcW w:w="406" w:type="pct"/>
            <w:vMerge w:val="continue"/>
            <w:tcBorders>
              <w:left w:val="single" w:color="auto" w:sz="4" w:space="0"/>
              <w:bottom w:val="single" w:color="auto" w:sz="4" w:space="0"/>
              <w:right w:val="single" w:color="auto" w:sz="4" w:space="0"/>
            </w:tcBorders>
            <w:noWrap/>
            <w:vAlign w:val="center"/>
          </w:tcPr>
          <w:p>
            <w:pPr>
              <w:spacing w:line="280" w:lineRule="exact"/>
              <w:jc w:val="center"/>
              <w:rPr>
                <w:rFonts w:ascii="Times New Roman" w:hAnsi="Times New Roman"/>
                <w:bCs/>
                <w:sz w:val="24"/>
                <w:szCs w:val="24"/>
              </w:rPr>
            </w:pP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bCs/>
                <w:sz w:val="24"/>
                <w:szCs w:val="24"/>
              </w:rPr>
            </w:pPr>
            <w:r>
              <w:rPr>
                <w:rFonts w:hint="eastAsia" w:ascii="Times New Roman" w:hAnsi="Times New Roman"/>
                <w:bCs/>
                <w:sz w:val="24"/>
                <w:szCs w:val="24"/>
              </w:rPr>
              <w:t>89.58%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357" w:hRule="exact"/>
          <w:jc w:val="center"/>
        </w:trPr>
        <w:tc>
          <w:tcPr>
            <w:tcW w:w="997"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exact"/>
              <w:jc w:val="center"/>
              <w:textAlignment w:val="center"/>
              <w:rPr>
                <w:rFonts w:ascii="Times New Roman" w:hAnsi="Times New Roman" w:eastAsiaTheme="minorEastAsia"/>
                <w:bCs/>
                <w:sz w:val="24"/>
                <w:szCs w:val="24"/>
              </w:rPr>
            </w:pPr>
            <w:r>
              <w:rPr>
                <w:rFonts w:hint="eastAsia" w:ascii="Times New Roman" w:hAnsi="Times New Roman" w:eastAsiaTheme="minorEastAsia"/>
                <w:bCs/>
                <w:sz w:val="24"/>
                <w:szCs w:val="24"/>
              </w:rPr>
              <w:t>注射用泮托拉唑钠60mg</w:t>
            </w:r>
          </w:p>
        </w:tc>
        <w:tc>
          <w:tcPr>
            <w:tcW w:w="12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exact"/>
              <w:jc w:val="center"/>
              <w:textAlignment w:val="center"/>
              <w:rPr>
                <w:rFonts w:ascii="Times New Roman" w:hAnsi="Times New Roman" w:eastAsiaTheme="minorEastAsia"/>
                <w:bCs/>
                <w:kern w:val="0"/>
                <w:sz w:val="24"/>
                <w:szCs w:val="24"/>
                <w:lang w:bidi="ar"/>
              </w:rPr>
            </w:pPr>
            <w:r>
              <w:rPr>
                <w:rFonts w:hint="eastAsia" w:ascii="Times New Roman" w:hAnsi="Times New Roman" w:eastAsiaTheme="minorEastAsia"/>
                <w:bCs/>
                <w:kern w:val="0"/>
                <w:sz w:val="24"/>
                <w:szCs w:val="24"/>
                <w:lang w:bidi="ar"/>
              </w:rPr>
              <w:t>山东绿叶制药有限公司</w:t>
            </w:r>
          </w:p>
        </w:tc>
        <w:tc>
          <w:tcPr>
            <w:tcW w:w="258" w:type="pct"/>
            <w:tcBorders>
              <w:top w:val="single" w:color="auto" w:sz="4" w:space="0"/>
              <w:left w:val="single" w:color="auto" w:sz="4" w:space="0"/>
              <w:bottom w:val="single" w:color="auto" w:sz="4" w:space="0"/>
              <w:right w:val="single" w:color="auto" w:sz="4" w:space="0"/>
            </w:tcBorders>
          </w:tcPr>
          <w:p>
            <w:pPr>
              <w:spacing w:line="280" w:lineRule="exact"/>
              <w:jc w:val="center"/>
              <w:rPr>
                <w:rFonts w:hint="eastAsia" w:ascii="Times New Roman" w:hAnsi="Times New Roman"/>
                <w:bCs/>
                <w:sz w:val="24"/>
                <w:szCs w:val="24"/>
              </w:rPr>
            </w:pPr>
            <w:r>
              <w:rPr>
                <w:rFonts w:hint="eastAsia" w:ascii="Times New Roman" w:hAnsi="Times New Roman"/>
                <w:bCs/>
                <w:sz w:val="24"/>
                <w:szCs w:val="24"/>
              </w:rPr>
              <w:t>2</w:t>
            </w:r>
            <w:r>
              <w:rPr>
                <w:rFonts w:ascii="Times New Roman" w:hAnsi="Times New Roman"/>
                <w:bCs/>
                <w:sz w:val="24"/>
                <w:szCs w:val="24"/>
              </w:rPr>
              <w:t>5</w:t>
            </w:r>
            <w:r>
              <w:rPr>
                <w:rFonts w:hint="eastAsia" w:ascii="Times New Roman" w:hAnsi="Times New Roman"/>
                <w:bCs/>
                <w:sz w:val="24"/>
                <w:szCs w:val="24"/>
              </w:rPr>
              <w:t>%</w:t>
            </w:r>
          </w:p>
        </w:tc>
        <w:tc>
          <w:tcPr>
            <w:tcW w:w="855"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bCs/>
                <w:sz w:val="24"/>
                <w:szCs w:val="24"/>
              </w:rPr>
            </w:pPr>
            <w:r>
              <w:rPr>
                <w:rFonts w:hint="eastAsia" w:ascii="Times New Roman" w:hAnsi="Times New Roman"/>
                <w:bCs/>
                <w:sz w:val="24"/>
                <w:szCs w:val="24"/>
              </w:rPr>
              <w:t>227635</w:t>
            </w:r>
          </w:p>
        </w:tc>
        <w:tc>
          <w:tcPr>
            <w:tcW w:w="443"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bCs/>
                <w:sz w:val="24"/>
                <w:szCs w:val="24"/>
              </w:rPr>
            </w:pPr>
            <w:r>
              <w:rPr>
                <w:rFonts w:hint="eastAsia" w:ascii="Times New Roman" w:hAnsi="Times New Roman"/>
                <w:bCs/>
                <w:sz w:val="24"/>
                <w:szCs w:val="24"/>
              </w:rPr>
              <w:t>409743</w:t>
            </w:r>
          </w:p>
        </w:tc>
        <w:tc>
          <w:tcPr>
            <w:tcW w:w="425"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bCs/>
                <w:sz w:val="24"/>
                <w:szCs w:val="24"/>
              </w:rPr>
            </w:pPr>
            <w:r>
              <w:rPr>
                <w:rFonts w:hint="eastAsia" w:ascii="Times New Roman" w:hAnsi="Times New Roman"/>
                <w:bCs/>
                <w:sz w:val="24"/>
                <w:szCs w:val="24"/>
              </w:rPr>
              <w:t>48.36%</w:t>
            </w:r>
          </w:p>
        </w:tc>
        <w:tc>
          <w:tcPr>
            <w:tcW w:w="406"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bCs/>
                <w:sz w:val="24"/>
                <w:szCs w:val="24"/>
              </w:rPr>
            </w:pPr>
            <w:r>
              <w:rPr>
                <w:rFonts w:hint="eastAsia" w:ascii="Times New Roman" w:hAnsi="Times New Roman"/>
                <w:bCs/>
                <w:sz w:val="24"/>
                <w:szCs w:val="24"/>
              </w:rPr>
              <w:t>41.06%</w:t>
            </w: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bCs/>
                <w:sz w:val="24"/>
                <w:szCs w:val="24"/>
              </w:rPr>
            </w:pPr>
            <w:r>
              <w:rPr>
                <w:rFonts w:hint="eastAsia" w:ascii="Times New Roman" w:hAnsi="Times New Roman"/>
                <w:bCs/>
                <w:sz w:val="24"/>
                <w:szCs w:val="24"/>
              </w:rPr>
              <w:t>98.67%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357" w:hRule="exact"/>
          <w:jc w:val="center"/>
        </w:trPr>
        <w:tc>
          <w:tcPr>
            <w:tcW w:w="997"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exact"/>
              <w:jc w:val="center"/>
              <w:textAlignment w:val="center"/>
              <w:rPr>
                <w:rFonts w:ascii="Times New Roman" w:hAnsi="Times New Roman" w:eastAsiaTheme="minorEastAsia"/>
                <w:bCs/>
                <w:sz w:val="24"/>
                <w:szCs w:val="24"/>
              </w:rPr>
            </w:pPr>
            <w:r>
              <w:rPr>
                <w:rFonts w:hint="eastAsia" w:ascii="Times New Roman" w:hAnsi="Times New Roman" w:eastAsiaTheme="minorEastAsia"/>
                <w:bCs/>
                <w:sz w:val="24"/>
                <w:szCs w:val="24"/>
              </w:rPr>
              <w:t>兰索拉唑肠溶片15mg</w:t>
            </w:r>
          </w:p>
        </w:tc>
        <w:tc>
          <w:tcPr>
            <w:tcW w:w="12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exact"/>
              <w:jc w:val="center"/>
              <w:textAlignment w:val="center"/>
              <w:rPr>
                <w:rFonts w:ascii="Times New Roman" w:hAnsi="Times New Roman" w:eastAsiaTheme="minorEastAsia"/>
                <w:bCs/>
                <w:kern w:val="0"/>
                <w:sz w:val="24"/>
                <w:szCs w:val="24"/>
                <w:lang w:bidi="ar"/>
              </w:rPr>
            </w:pPr>
            <w:r>
              <w:rPr>
                <w:rFonts w:hint="eastAsia" w:ascii="Times New Roman" w:hAnsi="Times New Roman" w:eastAsiaTheme="minorEastAsia"/>
                <w:bCs/>
                <w:kern w:val="0"/>
                <w:sz w:val="24"/>
                <w:szCs w:val="24"/>
                <w:lang w:bidi="ar"/>
              </w:rPr>
              <w:t>华润双鹤利民药业（济南）有限公司</w:t>
            </w:r>
          </w:p>
        </w:tc>
        <w:tc>
          <w:tcPr>
            <w:tcW w:w="258" w:type="pct"/>
            <w:tcBorders>
              <w:top w:val="single" w:color="auto" w:sz="4" w:space="0"/>
              <w:left w:val="single" w:color="auto" w:sz="4" w:space="0"/>
              <w:bottom w:val="single" w:color="auto" w:sz="4" w:space="0"/>
              <w:right w:val="single" w:color="auto" w:sz="4" w:space="0"/>
            </w:tcBorders>
          </w:tcPr>
          <w:p>
            <w:pPr>
              <w:spacing w:line="280" w:lineRule="exact"/>
              <w:jc w:val="center"/>
              <w:rPr>
                <w:rFonts w:hint="eastAsia" w:ascii="Times New Roman" w:hAnsi="Times New Roman"/>
                <w:bCs/>
                <w:sz w:val="24"/>
                <w:szCs w:val="24"/>
              </w:rPr>
            </w:pPr>
            <w:r>
              <w:rPr>
                <w:rFonts w:hint="eastAsia" w:ascii="Times New Roman" w:hAnsi="Times New Roman"/>
                <w:bCs/>
                <w:sz w:val="24"/>
                <w:szCs w:val="24"/>
              </w:rPr>
              <w:t>5</w:t>
            </w:r>
            <w:r>
              <w:rPr>
                <w:rFonts w:ascii="Times New Roman" w:hAnsi="Times New Roman"/>
                <w:bCs/>
                <w:sz w:val="24"/>
                <w:szCs w:val="24"/>
              </w:rPr>
              <w:t>0</w:t>
            </w:r>
            <w:r>
              <w:rPr>
                <w:rFonts w:hint="eastAsia" w:ascii="Times New Roman" w:hAnsi="Times New Roman"/>
                <w:bCs/>
                <w:sz w:val="24"/>
                <w:szCs w:val="24"/>
              </w:rPr>
              <w:t>%</w:t>
            </w:r>
          </w:p>
        </w:tc>
        <w:tc>
          <w:tcPr>
            <w:tcW w:w="855"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bCs/>
                <w:sz w:val="24"/>
                <w:szCs w:val="24"/>
              </w:rPr>
            </w:pPr>
            <w:r>
              <w:rPr>
                <w:rFonts w:hint="eastAsia" w:ascii="Times New Roman" w:hAnsi="Times New Roman"/>
                <w:bCs/>
                <w:sz w:val="24"/>
                <w:szCs w:val="24"/>
              </w:rPr>
              <w:t>6445600</w:t>
            </w:r>
          </w:p>
        </w:tc>
        <w:tc>
          <w:tcPr>
            <w:tcW w:w="443"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bCs/>
                <w:sz w:val="24"/>
                <w:szCs w:val="24"/>
              </w:rPr>
            </w:pPr>
            <w:r>
              <w:rPr>
                <w:rFonts w:hint="eastAsia" w:ascii="Times New Roman" w:hAnsi="Times New Roman"/>
                <w:bCs/>
                <w:sz w:val="24"/>
                <w:szCs w:val="24"/>
              </w:rPr>
              <w:t>1058920</w:t>
            </w:r>
          </w:p>
        </w:tc>
        <w:tc>
          <w:tcPr>
            <w:tcW w:w="425"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bCs/>
                <w:sz w:val="24"/>
                <w:szCs w:val="24"/>
              </w:rPr>
            </w:pPr>
            <w:r>
              <w:rPr>
                <w:rFonts w:hint="eastAsia" w:ascii="Times New Roman" w:hAnsi="Times New Roman"/>
                <w:bCs/>
                <w:sz w:val="24"/>
                <w:szCs w:val="24"/>
              </w:rPr>
              <w:t>106.71%</w:t>
            </w:r>
          </w:p>
        </w:tc>
        <w:tc>
          <w:tcPr>
            <w:tcW w:w="406"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bCs/>
                <w:sz w:val="24"/>
                <w:szCs w:val="24"/>
              </w:rPr>
            </w:pPr>
            <w:r>
              <w:rPr>
                <w:rFonts w:hint="eastAsia" w:ascii="Times New Roman" w:hAnsi="Times New Roman"/>
                <w:bCs/>
                <w:sz w:val="24"/>
                <w:szCs w:val="24"/>
              </w:rPr>
              <w:t>82.01%</w:t>
            </w: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bCs/>
                <w:sz w:val="24"/>
                <w:szCs w:val="24"/>
              </w:rPr>
            </w:pPr>
            <w:r>
              <w:rPr>
                <w:rFonts w:hint="eastAsia" w:ascii="Times New Roman" w:hAnsi="Times New Roman"/>
                <w:bCs/>
                <w:sz w:val="24"/>
                <w:szCs w:val="24"/>
              </w:rPr>
              <w:t>87.20%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357" w:hRule="exact"/>
          <w:jc w:val="center"/>
        </w:trPr>
        <w:tc>
          <w:tcPr>
            <w:tcW w:w="997"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exact"/>
              <w:jc w:val="center"/>
              <w:textAlignment w:val="center"/>
              <w:rPr>
                <w:rFonts w:ascii="Times New Roman" w:hAnsi="Times New Roman" w:eastAsiaTheme="minorEastAsia"/>
                <w:bCs/>
                <w:sz w:val="24"/>
                <w:szCs w:val="24"/>
              </w:rPr>
            </w:pPr>
            <w:r>
              <w:rPr>
                <w:rFonts w:hint="eastAsia" w:ascii="Times New Roman" w:hAnsi="Times New Roman" w:eastAsiaTheme="minorEastAsia"/>
                <w:bCs/>
                <w:sz w:val="24"/>
                <w:szCs w:val="24"/>
              </w:rPr>
              <w:t>注射用兰索拉唑30mg</w:t>
            </w:r>
          </w:p>
        </w:tc>
        <w:tc>
          <w:tcPr>
            <w:tcW w:w="12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exact"/>
              <w:jc w:val="center"/>
              <w:textAlignment w:val="center"/>
              <w:rPr>
                <w:rFonts w:ascii="Times New Roman" w:hAnsi="Times New Roman" w:eastAsiaTheme="minorEastAsia"/>
                <w:bCs/>
                <w:kern w:val="0"/>
                <w:sz w:val="24"/>
                <w:szCs w:val="24"/>
                <w:lang w:bidi="ar"/>
              </w:rPr>
            </w:pPr>
            <w:r>
              <w:rPr>
                <w:rFonts w:hint="eastAsia" w:ascii="Times New Roman" w:hAnsi="Times New Roman" w:eastAsiaTheme="minorEastAsia"/>
                <w:bCs/>
                <w:kern w:val="0"/>
                <w:sz w:val="24"/>
                <w:szCs w:val="24"/>
                <w:lang w:bidi="ar"/>
              </w:rPr>
              <w:t>成都百裕制药股份有限公司</w:t>
            </w:r>
          </w:p>
        </w:tc>
        <w:tc>
          <w:tcPr>
            <w:tcW w:w="258" w:type="pct"/>
            <w:tcBorders>
              <w:top w:val="single" w:color="auto" w:sz="4" w:space="0"/>
              <w:left w:val="single" w:color="auto" w:sz="4" w:space="0"/>
              <w:bottom w:val="single" w:color="auto" w:sz="4" w:space="0"/>
              <w:right w:val="single" w:color="auto" w:sz="4" w:space="0"/>
            </w:tcBorders>
          </w:tcPr>
          <w:p>
            <w:pPr>
              <w:spacing w:line="280" w:lineRule="exact"/>
              <w:jc w:val="center"/>
              <w:rPr>
                <w:rFonts w:hint="eastAsia" w:ascii="Times New Roman" w:hAnsi="Times New Roman"/>
                <w:bCs/>
                <w:sz w:val="24"/>
                <w:szCs w:val="24"/>
              </w:rPr>
            </w:pPr>
            <w:r>
              <w:rPr>
                <w:rFonts w:hint="eastAsia" w:ascii="Times New Roman" w:hAnsi="Times New Roman"/>
                <w:bCs/>
                <w:sz w:val="24"/>
                <w:szCs w:val="24"/>
              </w:rPr>
              <w:t>5</w:t>
            </w:r>
            <w:r>
              <w:rPr>
                <w:rFonts w:ascii="Times New Roman" w:hAnsi="Times New Roman"/>
                <w:bCs/>
                <w:sz w:val="24"/>
                <w:szCs w:val="24"/>
              </w:rPr>
              <w:t>0</w:t>
            </w:r>
            <w:r>
              <w:rPr>
                <w:rFonts w:hint="eastAsia" w:ascii="Times New Roman" w:hAnsi="Times New Roman"/>
                <w:bCs/>
                <w:sz w:val="24"/>
                <w:szCs w:val="24"/>
              </w:rPr>
              <w:t>%</w:t>
            </w:r>
          </w:p>
        </w:tc>
        <w:tc>
          <w:tcPr>
            <w:tcW w:w="855"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bCs/>
                <w:sz w:val="24"/>
                <w:szCs w:val="24"/>
              </w:rPr>
            </w:pPr>
            <w:r>
              <w:rPr>
                <w:rFonts w:hint="eastAsia" w:ascii="Times New Roman" w:hAnsi="Times New Roman"/>
                <w:bCs/>
                <w:sz w:val="24"/>
                <w:szCs w:val="24"/>
              </w:rPr>
              <w:t>367924</w:t>
            </w:r>
          </w:p>
        </w:tc>
        <w:tc>
          <w:tcPr>
            <w:tcW w:w="443"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bCs/>
                <w:sz w:val="24"/>
                <w:szCs w:val="24"/>
              </w:rPr>
            </w:pPr>
            <w:r>
              <w:rPr>
                <w:rFonts w:hint="eastAsia" w:ascii="Times New Roman" w:hAnsi="Times New Roman"/>
                <w:bCs/>
                <w:sz w:val="24"/>
                <w:szCs w:val="24"/>
              </w:rPr>
              <w:t>846225.2</w:t>
            </w:r>
          </w:p>
        </w:tc>
        <w:tc>
          <w:tcPr>
            <w:tcW w:w="425"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bCs/>
                <w:sz w:val="24"/>
                <w:szCs w:val="24"/>
              </w:rPr>
            </w:pPr>
            <w:r>
              <w:rPr>
                <w:rFonts w:hint="eastAsia" w:ascii="Times New Roman" w:hAnsi="Times New Roman"/>
                <w:bCs/>
                <w:sz w:val="24"/>
                <w:szCs w:val="24"/>
              </w:rPr>
              <w:t>49.25%</w:t>
            </w:r>
          </w:p>
        </w:tc>
        <w:tc>
          <w:tcPr>
            <w:tcW w:w="406"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bCs/>
                <w:sz w:val="24"/>
                <w:szCs w:val="24"/>
              </w:rPr>
            </w:pPr>
            <w:r>
              <w:rPr>
                <w:rFonts w:hint="eastAsia" w:ascii="Times New Roman" w:hAnsi="Times New Roman"/>
                <w:bCs/>
                <w:sz w:val="24"/>
                <w:szCs w:val="24"/>
              </w:rPr>
              <w:t>90.35%</w:t>
            </w: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bCs/>
                <w:sz w:val="24"/>
                <w:szCs w:val="24"/>
              </w:rPr>
            </w:pPr>
            <w:r>
              <w:rPr>
                <w:rFonts w:hint="eastAsia" w:ascii="Times New Roman" w:hAnsi="Times New Roman"/>
                <w:bCs/>
                <w:sz w:val="24"/>
                <w:szCs w:val="24"/>
              </w:rPr>
              <w:t>97.46%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357" w:hRule="exact"/>
          <w:jc w:val="center"/>
        </w:trPr>
        <w:tc>
          <w:tcPr>
            <w:tcW w:w="997"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exact"/>
              <w:jc w:val="center"/>
              <w:textAlignment w:val="center"/>
              <w:rPr>
                <w:rFonts w:ascii="Times New Roman" w:hAnsi="Times New Roman" w:eastAsiaTheme="minorEastAsia"/>
                <w:bCs/>
                <w:sz w:val="24"/>
                <w:szCs w:val="24"/>
              </w:rPr>
            </w:pPr>
            <w:r>
              <w:rPr>
                <w:rFonts w:hint="eastAsia" w:ascii="Times New Roman" w:hAnsi="Times New Roman" w:eastAsiaTheme="minorEastAsia"/>
                <w:bCs/>
                <w:sz w:val="24"/>
                <w:szCs w:val="24"/>
              </w:rPr>
              <w:t>雷贝拉唑钠肠溶胶囊10mg</w:t>
            </w:r>
          </w:p>
        </w:tc>
        <w:tc>
          <w:tcPr>
            <w:tcW w:w="12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exact"/>
              <w:jc w:val="center"/>
              <w:textAlignment w:val="center"/>
              <w:rPr>
                <w:rFonts w:ascii="Times New Roman" w:hAnsi="Times New Roman" w:eastAsiaTheme="minorEastAsia"/>
                <w:bCs/>
                <w:kern w:val="0"/>
                <w:sz w:val="24"/>
                <w:szCs w:val="24"/>
                <w:lang w:bidi="ar"/>
              </w:rPr>
            </w:pPr>
            <w:r>
              <w:rPr>
                <w:rFonts w:hint="eastAsia" w:ascii="Times New Roman" w:hAnsi="Times New Roman" w:eastAsiaTheme="minorEastAsia"/>
                <w:bCs/>
                <w:kern w:val="0"/>
                <w:sz w:val="24"/>
                <w:szCs w:val="24"/>
                <w:lang w:bidi="ar"/>
              </w:rPr>
              <w:t>珠海润都制药股份有限公司</w:t>
            </w:r>
          </w:p>
        </w:tc>
        <w:tc>
          <w:tcPr>
            <w:tcW w:w="258" w:type="pct"/>
            <w:tcBorders>
              <w:top w:val="single" w:color="auto" w:sz="4" w:space="0"/>
              <w:left w:val="single" w:color="auto" w:sz="4" w:space="0"/>
              <w:bottom w:val="single" w:color="auto" w:sz="4" w:space="0"/>
              <w:right w:val="single" w:color="auto" w:sz="4" w:space="0"/>
            </w:tcBorders>
          </w:tcPr>
          <w:p>
            <w:pPr>
              <w:spacing w:line="280" w:lineRule="exact"/>
              <w:jc w:val="center"/>
              <w:rPr>
                <w:rFonts w:hint="eastAsia" w:ascii="Times New Roman" w:hAnsi="Times New Roman"/>
                <w:bCs/>
                <w:sz w:val="24"/>
                <w:szCs w:val="24"/>
              </w:rPr>
            </w:pPr>
            <w:r>
              <w:rPr>
                <w:rFonts w:hint="eastAsia" w:ascii="Times New Roman" w:hAnsi="Times New Roman"/>
                <w:bCs/>
                <w:sz w:val="24"/>
                <w:szCs w:val="24"/>
              </w:rPr>
              <w:t>5</w:t>
            </w:r>
            <w:r>
              <w:rPr>
                <w:rFonts w:ascii="Times New Roman" w:hAnsi="Times New Roman"/>
                <w:bCs/>
                <w:sz w:val="24"/>
                <w:szCs w:val="24"/>
              </w:rPr>
              <w:t>0</w:t>
            </w:r>
            <w:r>
              <w:rPr>
                <w:rFonts w:hint="eastAsia" w:ascii="Times New Roman" w:hAnsi="Times New Roman"/>
                <w:bCs/>
                <w:sz w:val="24"/>
                <w:szCs w:val="24"/>
              </w:rPr>
              <w:t>%</w:t>
            </w:r>
          </w:p>
        </w:tc>
        <w:tc>
          <w:tcPr>
            <w:tcW w:w="855"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bCs/>
                <w:sz w:val="24"/>
                <w:szCs w:val="24"/>
              </w:rPr>
            </w:pPr>
            <w:r>
              <w:rPr>
                <w:rFonts w:hint="eastAsia" w:ascii="Times New Roman" w:hAnsi="Times New Roman"/>
                <w:bCs/>
                <w:sz w:val="24"/>
                <w:szCs w:val="24"/>
              </w:rPr>
              <w:t>3425618</w:t>
            </w:r>
          </w:p>
        </w:tc>
        <w:tc>
          <w:tcPr>
            <w:tcW w:w="443"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bCs/>
                <w:sz w:val="24"/>
                <w:szCs w:val="24"/>
              </w:rPr>
            </w:pPr>
            <w:r>
              <w:rPr>
                <w:rFonts w:hint="eastAsia" w:ascii="Times New Roman" w:hAnsi="Times New Roman"/>
                <w:bCs/>
                <w:sz w:val="24"/>
                <w:szCs w:val="24"/>
              </w:rPr>
              <w:t>3914992</w:t>
            </w:r>
          </w:p>
        </w:tc>
        <w:tc>
          <w:tcPr>
            <w:tcW w:w="425"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bCs/>
                <w:sz w:val="24"/>
                <w:szCs w:val="24"/>
              </w:rPr>
            </w:pPr>
            <w:r>
              <w:rPr>
                <w:rFonts w:hint="eastAsia" w:ascii="Times New Roman" w:hAnsi="Times New Roman"/>
                <w:bCs/>
                <w:sz w:val="24"/>
                <w:szCs w:val="24"/>
              </w:rPr>
              <w:t>84.70%</w:t>
            </w:r>
          </w:p>
        </w:tc>
        <w:tc>
          <w:tcPr>
            <w:tcW w:w="406"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bCs/>
                <w:sz w:val="24"/>
                <w:szCs w:val="24"/>
              </w:rPr>
            </w:pPr>
            <w:r>
              <w:rPr>
                <w:rFonts w:hint="eastAsia" w:ascii="Times New Roman" w:hAnsi="Times New Roman"/>
                <w:bCs/>
                <w:sz w:val="24"/>
                <w:szCs w:val="24"/>
              </w:rPr>
              <w:t>77.57%</w:t>
            </w: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bCs/>
                <w:sz w:val="24"/>
                <w:szCs w:val="24"/>
              </w:rPr>
            </w:pPr>
            <w:r>
              <w:rPr>
                <w:rFonts w:hint="eastAsia" w:ascii="Times New Roman" w:hAnsi="Times New Roman"/>
                <w:bCs/>
                <w:sz w:val="24"/>
                <w:szCs w:val="24"/>
              </w:rPr>
              <w:t>94.05%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357" w:hRule="exact"/>
          <w:jc w:val="center"/>
        </w:trPr>
        <w:tc>
          <w:tcPr>
            <w:tcW w:w="997"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exact"/>
              <w:jc w:val="center"/>
              <w:textAlignment w:val="center"/>
              <w:rPr>
                <w:rFonts w:ascii="Times New Roman" w:hAnsi="Times New Roman" w:eastAsiaTheme="minorEastAsia"/>
                <w:bCs/>
                <w:sz w:val="24"/>
                <w:szCs w:val="24"/>
              </w:rPr>
            </w:pPr>
            <w:r>
              <w:rPr>
                <w:rFonts w:hint="eastAsia" w:ascii="Times New Roman" w:hAnsi="Times New Roman" w:eastAsiaTheme="minorEastAsia"/>
                <w:bCs/>
                <w:sz w:val="24"/>
                <w:szCs w:val="24"/>
              </w:rPr>
              <w:t>雷贝拉唑钠肠溶胶囊10mg</w:t>
            </w:r>
          </w:p>
        </w:tc>
        <w:tc>
          <w:tcPr>
            <w:tcW w:w="12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exact"/>
              <w:jc w:val="center"/>
              <w:textAlignment w:val="center"/>
              <w:rPr>
                <w:rFonts w:ascii="Times New Roman" w:hAnsi="Times New Roman" w:eastAsiaTheme="minorEastAsia"/>
                <w:bCs/>
                <w:kern w:val="0"/>
                <w:sz w:val="24"/>
                <w:szCs w:val="24"/>
                <w:lang w:bidi="ar"/>
              </w:rPr>
            </w:pPr>
            <w:r>
              <w:rPr>
                <w:rFonts w:hint="eastAsia" w:ascii="Times New Roman" w:hAnsi="Times New Roman" w:eastAsiaTheme="minorEastAsia"/>
                <w:bCs/>
                <w:kern w:val="0"/>
                <w:sz w:val="24"/>
                <w:szCs w:val="24"/>
                <w:lang w:bidi="ar"/>
              </w:rPr>
              <w:t>卫材（中国）药业有限公司</w:t>
            </w:r>
          </w:p>
        </w:tc>
        <w:tc>
          <w:tcPr>
            <w:tcW w:w="258" w:type="pct"/>
            <w:tcBorders>
              <w:top w:val="single" w:color="auto" w:sz="4" w:space="0"/>
              <w:left w:val="single" w:color="auto" w:sz="4" w:space="0"/>
              <w:bottom w:val="single" w:color="auto" w:sz="4" w:space="0"/>
              <w:right w:val="single" w:color="auto" w:sz="4" w:space="0"/>
            </w:tcBorders>
          </w:tcPr>
          <w:p>
            <w:pPr>
              <w:spacing w:line="280" w:lineRule="exact"/>
              <w:jc w:val="center"/>
              <w:rPr>
                <w:rFonts w:hint="eastAsia" w:ascii="Times New Roman" w:hAnsi="Times New Roman"/>
                <w:bCs/>
                <w:sz w:val="24"/>
                <w:szCs w:val="24"/>
              </w:rPr>
            </w:pPr>
            <w:r>
              <w:rPr>
                <w:rFonts w:hint="eastAsia" w:ascii="Times New Roman" w:hAnsi="Times New Roman"/>
                <w:bCs/>
                <w:sz w:val="24"/>
                <w:szCs w:val="24"/>
              </w:rPr>
              <w:t>2</w:t>
            </w:r>
            <w:r>
              <w:rPr>
                <w:rFonts w:ascii="Times New Roman" w:hAnsi="Times New Roman"/>
                <w:bCs/>
                <w:sz w:val="24"/>
                <w:szCs w:val="24"/>
              </w:rPr>
              <w:t>5</w:t>
            </w:r>
            <w:r>
              <w:rPr>
                <w:rFonts w:hint="eastAsia" w:ascii="Times New Roman" w:hAnsi="Times New Roman"/>
                <w:bCs/>
                <w:sz w:val="24"/>
                <w:szCs w:val="24"/>
              </w:rPr>
              <w:t>%</w:t>
            </w:r>
          </w:p>
        </w:tc>
        <w:tc>
          <w:tcPr>
            <w:tcW w:w="855"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bCs/>
                <w:sz w:val="24"/>
                <w:szCs w:val="24"/>
              </w:rPr>
            </w:pPr>
            <w:r>
              <w:rPr>
                <w:rFonts w:hint="eastAsia" w:ascii="Times New Roman" w:hAnsi="Times New Roman"/>
                <w:bCs/>
                <w:sz w:val="24"/>
                <w:szCs w:val="24"/>
              </w:rPr>
              <w:t>608636</w:t>
            </w:r>
          </w:p>
        </w:tc>
        <w:tc>
          <w:tcPr>
            <w:tcW w:w="443"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bCs/>
                <w:sz w:val="24"/>
                <w:szCs w:val="24"/>
              </w:rPr>
            </w:pPr>
            <w:r>
              <w:rPr>
                <w:rFonts w:hint="eastAsia" w:ascii="Times New Roman" w:hAnsi="Times New Roman"/>
                <w:bCs/>
                <w:sz w:val="24"/>
                <w:szCs w:val="24"/>
              </w:rPr>
              <w:t>5344693.56</w:t>
            </w:r>
          </w:p>
        </w:tc>
        <w:tc>
          <w:tcPr>
            <w:tcW w:w="425"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bCs/>
                <w:sz w:val="24"/>
                <w:szCs w:val="24"/>
              </w:rPr>
            </w:pPr>
            <w:r>
              <w:rPr>
                <w:rFonts w:hint="eastAsia" w:ascii="Times New Roman" w:hAnsi="Times New Roman"/>
                <w:bCs/>
                <w:sz w:val="24"/>
                <w:szCs w:val="24"/>
              </w:rPr>
              <w:t>30.10%</w:t>
            </w:r>
          </w:p>
        </w:tc>
        <w:tc>
          <w:tcPr>
            <w:tcW w:w="406"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bCs/>
                <w:sz w:val="24"/>
                <w:szCs w:val="24"/>
              </w:rPr>
            </w:pPr>
            <w:r>
              <w:rPr>
                <w:rFonts w:hint="eastAsia" w:ascii="Times New Roman" w:hAnsi="Times New Roman"/>
                <w:bCs/>
                <w:sz w:val="24"/>
                <w:szCs w:val="24"/>
              </w:rPr>
              <w:t>13.78%</w:t>
            </w: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bCs/>
                <w:sz w:val="24"/>
                <w:szCs w:val="24"/>
              </w:rPr>
            </w:pPr>
            <w:r>
              <w:rPr>
                <w:rFonts w:hint="eastAsia" w:ascii="Times New Roman" w:hAnsi="Times New Roman"/>
                <w:bCs/>
                <w:sz w:val="24"/>
                <w:szCs w:val="24"/>
              </w:rPr>
              <w:t>98.85%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357" w:hRule="exact"/>
          <w:jc w:val="center"/>
        </w:trPr>
        <w:tc>
          <w:tcPr>
            <w:tcW w:w="997"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exact"/>
              <w:jc w:val="center"/>
              <w:textAlignment w:val="center"/>
              <w:rPr>
                <w:rFonts w:ascii="Times New Roman" w:hAnsi="Times New Roman" w:eastAsiaTheme="minorEastAsia"/>
                <w:bCs/>
                <w:sz w:val="24"/>
                <w:szCs w:val="24"/>
              </w:rPr>
            </w:pPr>
            <w:r>
              <w:rPr>
                <w:rFonts w:hint="eastAsia" w:ascii="Times New Roman" w:hAnsi="Times New Roman" w:eastAsiaTheme="minorEastAsia"/>
                <w:bCs/>
                <w:sz w:val="24"/>
                <w:szCs w:val="24"/>
              </w:rPr>
              <w:t>雷贝拉唑钠肠溶胶囊20mg</w:t>
            </w:r>
          </w:p>
        </w:tc>
        <w:tc>
          <w:tcPr>
            <w:tcW w:w="12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exact"/>
              <w:jc w:val="center"/>
              <w:textAlignment w:val="center"/>
              <w:rPr>
                <w:rFonts w:ascii="Times New Roman" w:hAnsi="Times New Roman" w:eastAsiaTheme="minorEastAsia"/>
                <w:bCs/>
                <w:kern w:val="0"/>
                <w:sz w:val="24"/>
                <w:szCs w:val="24"/>
                <w:lang w:bidi="ar"/>
              </w:rPr>
            </w:pPr>
            <w:r>
              <w:rPr>
                <w:rFonts w:hint="eastAsia" w:ascii="Times New Roman" w:hAnsi="Times New Roman" w:eastAsiaTheme="minorEastAsia"/>
                <w:bCs/>
                <w:kern w:val="0"/>
                <w:sz w:val="24"/>
                <w:szCs w:val="24"/>
                <w:lang w:bidi="ar"/>
              </w:rPr>
              <w:t>珠海润都制药股份有限公司</w:t>
            </w:r>
          </w:p>
        </w:tc>
        <w:tc>
          <w:tcPr>
            <w:tcW w:w="258" w:type="pct"/>
            <w:tcBorders>
              <w:top w:val="single" w:color="auto" w:sz="4" w:space="0"/>
              <w:left w:val="single" w:color="auto" w:sz="4" w:space="0"/>
              <w:bottom w:val="single" w:color="auto" w:sz="4" w:space="0"/>
              <w:right w:val="single" w:color="auto" w:sz="4" w:space="0"/>
            </w:tcBorders>
          </w:tcPr>
          <w:p>
            <w:pPr>
              <w:spacing w:line="280" w:lineRule="exact"/>
              <w:jc w:val="center"/>
              <w:rPr>
                <w:rFonts w:hint="eastAsia" w:ascii="Times New Roman" w:hAnsi="Times New Roman"/>
                <w:bCs/>
                <w:sz w:val="24"/>
                <w:szCs w:val="24"/>
              </w:rPr>
            </w:pPr>
            <w:r>
              <w:rPr>
                <w:rFonts w:hint="eastAsia" w:ascii="Times New Roman" w:hAnsi="Times New Roman"/>
                <w:bCs/>
                <w:sz w:val="24"/>
                <w:szCs w:val="24"/>
              </w:rPr>
              <w:t>5</w:t>
            </w:r>
            <w:r>
              <w:rPr>
                <w:rFonts w:ascii="Times New Roman" w:hAnsi="Times New Roman"/>
                <w:bCs/>
                <w:sz w:val="24"/>
                <w:szCs w:val="24"/>
              </w:rPr>
              <w:t>0</w:t>
            </w:r>
            <w:r>
              <w:rPr>
                <w:rFonts w:hint="eastAsia" w:ascii="Times New Roman" w:hAnsi="Times New Roman"/>
                <w:bCs/>
                <w:sz w:val="24"/>
                <w:szCs w:val="24"/>
              </w:rPr>
              <w:t>%</w:t>
            </w:r>
          </w:p>
        </w:tc>
        <w:tc>
          <w:tcPr>
            <w:tcW w:w="855"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bCs/>
                <w:sz w:val="24"/>
                <w:szCs w:val="24"/>
              </w:rPr>
            </w:pPr>
            <w:r>
              <w:rPr>
                <w:rFonts w:hint="eastAsia" w:ascii="Times New Roman" w:hAnsi="Times New Roman"/>
                <w:bCs/>
                <w:sz w:val="24"/>
                <w:szCs w:val="24"/>
              </w:rPr>
              <w:t>2136330</w:t>
            </w:r>
          </w:p>
        </w:tc>
        <w:tc>
          <w:tcPr>
            <w:tcW w:w="443"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bCs/>
                <w:sz w:val="24"/>
                <w:szCs w:val="24"/>
              </w:rPr>
            </w:pPr>
            <w:r>
              <w:rPr>
                <w:rFonts w:hint="eastAsia" w:ascii="Times New Roman" w:hAnsi="Times New Roman"/>
                <w:bCs/>
                <w:sz w:val="24"/>
                <w:szCs w:val="24"/>
              </w:rPr>
              <w:t>4150584</w:t>
            </w:r>
          </w:p>
        </w:tc>
        <w:tc>
          <w:tcPr>
            <w:tcW w:w="425"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bCs/>
                <w:sz w:val="24"/>
                <w:szCs w:val="24"/>
              </w:rPr>
            </w:pPr>
            <w:r>
              <w:rPr>
                <w:rFonts w:hint="eastAsia" w:ascii="Times New Roman" w:hAnsi="Times New Roman"/>
                <w:bCs/>
                <w:sz w:val="24"/>
                <w:szCs w:val="24"/>
              </w:rPr>
              <w:t>197.83%</w:t>
            </w:r>
          </w:p>
        </w:tc>
        <w:tc>
          <w:tcPr>
            <w:tcW w:w="406"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bCs/>
                <w:sz w:val="24"/>
                <w:szCs w:val="24"/>
              </w:rPr>
            </w:pPr>
            <w:r>
              <w:rPr>
                <w:rFonts w:hint="eastAsia" w:ascii="Times New Roman" w:hAnsi="Times New Roman"/>
                <w:bCs/>
                <w:sz w:val="24"/>
                <w:szCs w:val="24"/>
              </w:rPr>
              <w:t>95.25%</w:t>
            </w: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bCs/>
                <w:sz w:val="24"/>
                <w:szCs w:val="24"/>
              </w:rPr>
            </w:pPr>
            <w:r>
              <w:rPr>
                <w:rFonts w:hint="eastAsia" w:ascii="Times New Roman" w:hAnsi="Times New Roman"/>
                <w:bCs/>
                <w:sz w:val="24"/>
                <w:szCs w:val="24"/>
              </w:rPr>
              <w:t>94.51%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357" w:hRule="exact"/>
          <w:jc w:val="center"/>
        </w:trPr>
        <w:tc>
          <w:tcPr>
            <w:tcW w:w="997"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exact"/>
              <w:jc w:val="center"/>
              <w:textAlignment w:val="center"/>
              <w:rPr>
                <w:rFonts w:ascii="Times New Roman" w:hAnsi="Times New Roman" w:eastAsiaTheme="minorEastAsia"/>
                <w:bCs/>
                <w:sz w:val="24"/>
                <w:szCs w:val="24"/>
              </w:rPr>
            </w:pPr>
            <w:r>
              <w:rPr>
                <w:rFonts w:hint="eastAsia" w:ascii="Times New Roman" w:hAnsi="Times New Roman" w:eastAsiaTheme="minorEastAsia"/>
                <w:bCs/>
                <w:sz w:val="24"/>
                <w:szCs w:val="24"/>
              </w:rPr>
              <w:t>雷贝拉唑钠肠溶胶囊20mg</w:t>
            </w:r>
          </w:p>
        </w:tc>
        <w:tc>
          <w:tcPr>
            <w:tcW w:w="12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exact"/>
              <w:jc w:val="center"/>
              <w:textAlignment w:val="center"/>
              <w:rPr>
                <w:rFonts w:ascii="Times New Roman" w:hAnsi="Times New Roman" w:eastAsiaTheme="minorEastAsia"/>
                <w:bCs/>
                <w:kern w:val="0"/>
                <w:sz w:val="24"/>
                <w:szCs w:val="24"/>
                <w:lang w:bidi="ar"/>
              </w:rPr>
            </w:pPr>
            <w:r>
              <w:rPr>
                <w:rFonts w:hint="eastAsia" w:ascii="Times New Roman" w:hAnsi="Times New Roman" w:eastAsiaTheme="minorEastAsia"/>
                <w:bCs/>
                <w:kern w:val="0"/>
                <w:sz w:val="24"/>
                <w:szCs w:val="24"/>
                <w:lang w:bidi="ar"/>
              </w:rPr>
              <w:t>卫材（中国）药业有限公司</w:t>
            </w:r>
          </w:p>
        </w:tc>
        <w:tc>
          <w:tcPr>
            <w:tcW w:w="258" w:type="pct"/>
            <w:tcBorders>
              <w:top w:val="single" w:color="auto" w:sz="4" w:space="0"/>
              <w:left w:val="single" w:color="auto" w:sz="4" w:space="0"/>
              <w:bottom w:val="single" w:color="auto" w:sz="4" w:space="0"/>
              <w:right w:val="single" w:color="auto" w:sz="4" w:space="0"/>
            </w:tcBorders>
          </w:tcPr>
          <w:p>
            <w:pPr>
              <w:spacing w:line="280" w:lineRule="exact"/>
              <w:jc w:val="center"/>
              <w:rPr>
                <w:rFonts w:hint="eastAsia" w:ascii="Times New Roman" w:hAnsi="Times New Roman"/>
                <w:bCs/>
                <w:sz w:val="24"/>
                <w:szCs w:val="24"/>
              </w:rPr>
            </w:pPr>
            <w:r>
              <w:rPr>
                <w:rFonts w:hint="eastAsia" w:ascii="Times New Roman" w:hAnsi="Times New Roman"/>
                <w:bCs/>
                <w:sz w:val="24"/>
                <w:szCs w:val="24"/>
              </w:rPr>
              <w:t>2</w:t>
            </w:r>
            <w:r>
              <w:rPr>
                <w:rFonts w:ascii="Times New Roman" w:hAnsi="Times New Roman"/>
                <w:bCs/>
                <w:sz w:val="24"/>
                <w:szCs w:val="24"/>
              </w:rPr>
              <w:t>5</w:t>
            </w:r>
            <w:r>
              <w:rPr>
                <w:rFonts w:hint="eastAsia" w:ascii="Times New Roman" w:hAnsi="Times New Roman"/>
                <w:bCs/>
                <w:sz w:val="24"/>
                <w:szCs w:val="24"/>
              </w:rPr>
              <w:t>%</w:t>
            </w:r>
          </w:p>
        </w:tc>
        <w:tc>
          <w:tcPr>
            <w:tcW w:w="855"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bCs/>
                <w:sz w:val="24"/>
                <w:szCs w:val="24"/>
              </w:rPr>
            </w:pPr>
            <w:r>
              <w:rPr>
                <w:rFonts w:hint="eastAsia" w:ascii="Times New Roman" w:hAnsi="Times New Roman"/>
                <w:bCs/>
                <w:sz w:val="24"/>
                <w:szCs w:val="24"/>
              </w:rPr>
              <w:t>75915</w:t>
            </w:r>
          </w:p>
        </w:tc>
        <w:tc>
          <w:tcPr>
            <w:tcW w:w="443"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bCs/>
                <w:sz w:val="24"/>
                <w:szCs w:val="24"/>
              </w:rPr>
            </w:pPr>
            <w:r>
              <w:rPr>
                <w:rFonts w:hint="eastAsia" w:ascii="Times New Roman" w:hAnsi="Times New Roman"/>
                <w:bCs/>
                <w:sz w:val="24"/>
                <w:szCs w:val="24"/>
              </w:rPr>
              <w:t>1133302.5</w:t>
            </w:r>
          </w:p>
        </w:tc>
        <w:tc>
          <w:tcPr>
            <w:tcW w:w="425"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bCs/>
                <w:sz w:val="24"/>
                <w:szCs w:val="24"/>
              </w:rPr>
            </w:pPr>
            <w:r>
              <w:rPr>
                <w:rFonts w:hint="eastAsia" w:ascii="Times New Roman" w:hAnsi="Times New Roman"/>
                <w:bCs/>
                <w:sz w:val="24"/>
                <w:szCs w:val="24"/>
              </w:rPr>
              <w:t>14.06%</w:t>
            </w:r>
          </w:p>
        </w:tc>
        <w:tc>
          <w:tcPr>
            <w:tcW w:w="406"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bCs/>
                <w:sz w:val="24"/>
                <w:szCs w:val="24"/>
              </w:rPr>
            </w:pPr>
            <w:r>
              <w:rPr>
                <w:rFonts w:hint="eastAsia" w:ascii="Times New Roman" w:hAnsi="Times New Roman"/>
                <w:bCs/>
                <w:sz w:val="24"/>
                <w:szCs w:val="24"/>
              </w:rPr>
              <w:t>3.38%</w:t>
            </w: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bCs/>
                <w:sz w:val="24"/>
                <w:szCs w:val="24"/>
              </w:rPr>
            </w:pPr>
            <w:r>
              <w:rPr>
                <w:rFonts w:hint="eastAsia" w:ascii="Times New Roman" w:hAnsi="Times New Roman"/>
                <w:bCs/>
                <w:sz w:val="24"/>
                <w:szCs w:val="24"/>
              </w:rPr>
              <w:t>99.91%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357" w:hRule="exact"/>
          <w:jc w:val="center"/>
        </w:trPr>
        <w:tc>
          <w:tcPr>
            <w:tcW w:w="997"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exact"/>
              <w:jc w:val="center"/>
              <w:textAlignment w:val="center"/>
              <w:rPr>
                <w:rFonts w:ascii="Times New Roman" w:hAnsi="Times New Roman" w:eastAsiaTheme="minorEastAsia"/>
                <w:bCs/>
                <w:sz w:val="24"/>
                <w:szCs w:val="24"/>
              </w:rPr>
            </w:pPr>
            <w:r>
              <w:rPr>
                <w:rFonts w:hint="eastAsia" w:ascii="Times New Roman" w:hAnsi="Times New Roman" w:eastAsiaTheme="minorEastAsia"/>
                <w:bCs/>
                <w:sz w:val="24"/>
                <w:szCs w:val="24"/>
              </w:rPr>
              <w:t>醋酸奥曲肽注射液1ml:0.1mg</w:t>
            </w:r>
          </w:p>
        </w:tc>
        <w:tc>
          <w:tcPr>
            <w:tcW w:w="12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exact"/>
              <w:jc w:val="center"/>
              <w:textAlignment w:val="center"/>
              <w:rPr>
                <w:rFonts w:ascii="Times New Roman" w:hAnsi="Times New Roman" w:eastAsiaTheme="minorEastAsia"/>
                <w:bCs/>
                <w:kern w:val="0"/>
                <w:sz w:val="24"/>
                <w:szCs w:val="24"/>
                <w:lang w:bidi="ar"/>
              </w:rPr>
            </w:pPr>
            <w:r>
              <w:rPr>
                <w:rFonts w:hint="eastAsia" w:ascii="Times New Roman" w:hAnsi="Times New Roman" w:eastAsiaTheme="minorEastAsia"/>
                <w:bCs/>
                <w:kern w:val="0"/>
                <w:sz w:val="24"/>
                <w:szCs w:val="24"/>
                <w:lang w:bidi="ar"/>
              </w:rPr>
              <w:t>锦州奥鸿药业有限责任公司</w:t>
            </w:r>
          </w:p>
        </w:tc>
        <w:tc>
          <w:tcPr>
            <w:tcW w:w="258" w:type="pct"/>
            <w:tcBorders>
              <w:top w:val="single" w:color="auto" w:sz="4" w:space="0"/>
              <w:left w:val="single" w:color="auto" w:sz="4" w:space="0"/>
              <w:bottom w:val="single" w:color="auto" w:sz="4" w:space="0"/>
              <w:right w:val="single" w:color="auto" w:sz="4" w:space="0"/>
            </w:tcBorders>
          </w:tcPr>
          <w:p>
            <w:pPr>
              <w:spacing w:line="280" w:lineRule="exact"/>
              <w:jc w:val="center"/>
              <w:rPr>
                <w:rFonts w:hint="eastAsia" w:ascii="Times New Roman" w:hAnsi="Times New Roman"/>
                <w:bCs/>
                <w:sz w:val="24"/>
                <w:szCs w:val="24"/>
              </w:rPr>
            </w:pPr>
            <w:r>
              <w:rPr>
                <w:rFonts w:hint="eastAsia" w:ascii="Times New Roman" w:hAnsi="Times New Roman"/>
                <w:bCs/>
                <w:sz w:val="24"/>
                <w:szCs w:val="24"/>
              </w:rPr>
              <w:t>5</w:t>
            </w:r>
            <w:r>
              <w:rPr>
                <w:rFonts w:ascii="Times New Roman" w:hAnsi="Times New Roman"/>
                <w:bCs/>
                <w:sz w:val="24"/>
                <w:szCs w:val="24"/>
              </w:rPr>
              <w:t>0</w:t>
            </w:r>
            <w:r>
              <w:rPr>
                <w:rFonts w:hint="eastAsia" w:ascii="Times New Roman" w:hAnsi="Times New Roman"/>
                <w:bCs/>
                <w:sz w:val="24"/>
                <w:szCs w:val="24"/>
              </w:rPr>
              <w:t>%</w:t>
            </w:r>
          </w:p>
        </w:tc>
        <w:tc>
          <w:tcPr>
            <w:tcW w:w="855"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bCs/>
                <w:sz w:val="24"/>
                <w:szCs w:val="24"/>
              </w:rPr>
            </w:pPr>
            <w:r>
              <w:rPr>
                <w:rFonts w:hint="eastAsia" w:ascii="Times New Roman" w:hAnsi="Times New Roman"/>
                <w:bCs/>
                <w:sz w:val="24"/>
                <w:szCs w:val="24"/>
              </w:rPr>
              <w:t>414950</w:t>
            </w:r>
          </w:p>
        </w:tc>
        <w:tc>
          <w:tcPr>
            <w:tcW w:w="443"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bCs/>
                <w:sz w:val="24"/>
                <w:szCs w:val="24"/>
              </w:rPr>
            </w:pPr>
            <w:r>
              <w:rPr>
                <w:rFonts w:hint="eastAsia" w:ascii="Times New Roman" w:hAnsi="Times New Roman"/>
                <w:bCs/>
                <w:sz w:val="24"/>
                <w:szCs w:val="24"/>
              </w:rPr>
              <w:t>2821660</w:t>
            </w:r>
          </w:p>
        </w:tc>
        <w:tc>
          <w:tcPr>
            <w:tcW w:w="425"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bCs/>
                <w:sz w:val="24"/>
                <w:szCs w:val="24"/>
              </w:rPr>
            </w:pPr>
            <w:r>
              <w:rPr>
                <w:rFonts w:hint="eastAsia" w:ascii="Times New Roman" w:hAnsi="Times New Roman"/>
                <w:bCs/>
                <w:sz w:val="24"/>
                <w:szCs w:val="24"/>
              </w:rPr>
              <w:t>61.45%</w:t>
            </w:r>
          </w:p>
        </w:tc>
        <w:tc>
          <w:tcPr>
            <w:tcW w:w="406"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bCs/>
                <w:sz w:val="24"/>
                <w:szCs w:val="24"/>
              </w:rPr>
            </w:pPr>
            <w:r>
              <w:rPr>
                <w:rFonts w:hint="eastAsia" w:ascii="Times New Roman" w:hAnsi="Times New Roman"/>
                <w:bCs/>
                <w:sz w:val="24"/>
                <w:szCs w:val="24"/>
              </w:rPr>
              <w:t>74.58%</w:t>
            </w: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bCs/>
                <w:sz w:val="24"/>
                <w:szCs w:val="24"/>
              </w:rPr>
            </w:pPr>
            <w:r>
              <w:rPr>
                <w:rFonts w:hint="eastAsia" w:ascii="Times New Roman" w:hAnsi="Times New Roman"/>
                <w:bCs/>
                <w:sz w:val="24"/>
                <w:szCs w:val="24"/>
              </w:rPr>
              <w:t>98.55%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357" w:hRule="exact"/>
          <w:jc w:val="center"/>
        </w:trPr>
        <w:tc>
          <w:tcPr>
            <w:tcW w:w="997"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exact"/>
              <w:jc w:val="center"/>
              <w:textAlignment w:val="center"/>
              <w:rPr>
                <w:rFonts w:ascii="Times New Roman" w:hAnsi="Times New Roman" w:eastAsiaTheme="minorEastAsia"/>
                <w:bCs/>
                <w:sz w:val="24"/>
                <w:szCs w:val="24"/>
              </w:rPr>
            </w:pPr>
            <w:r>
              <w:rPr>
                <w:rFonts w:hint="eastAsia" w:ascii="Times New Roman" w:hAnsi="Times New Roman" w:eastAsiaTheme="minorEastAsia"/>
                <w:bCs/>
                <w:sz w:val="24"/>
                <w:szCs w:val="24"/>
              </w:rPr>
              <w:t>醋酸奥曲肽注射液1ml:0.1mg</w:t>
            </w:r>
          </w:p>
        </w:tc>
        <w:tc>
          <w:tcPr>
            <w:tcW w:w="12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exact"/>
              <w:jc w:val="center"/>
              <w:textAlignment w:val="center"/>
              <w:rPr>
                <w:rFonts w:ascii="Times New Roman" w:hAnsi="Times New Roman" w:eastAsiaTheme="minorEastAsia"/>
                <w:bCs/>
                <w:kern w:val="0"/>
                <w:sz w:val="24"/>
                <w:szCs w:val="24"/>
                <w:lang w:bidi="ar"/>
              </w:rPr>
            </w:pPr>
            <w:r>
              <w:rPr>
                <w:rFonts w:hint="eastAsia" w:ascii="Times New Roman" w:hAnsi="Times New Roman" w:eastAsiaTheme="minorEastAsia"/>
                <w:bCs/>
                <w:kern w:val="0"/>
                <w:sz w:val="24"/>
                <w:szCs w:val="24"/>
                <w:lang w:bidi="ar"/>
              </w:rPr>
              <w:t>国药控股广州有限公司（瑞士诺华）</w:t>
            </w:r>
          </w:p>
        </w:tc>
        <w:tc>
          <w:tcPr>
            <w:tcW w:w="258" w:type="pct"/>
            <w:tcBorders>
              <w:top w:val="single" w:color="auto" w:sz="4" w:space="0"/>
              <w:left w:val="single" w:color="auto" w:sz="4" w:space="0"/>
              <w:bottom w:val="single" w:color="auto" w:sz="4" w:space="0"/>
              <w:right w:val="single" w:color="auto" w:sz="4" w:space="0"/>
            </w:tcBorders>
          </w:tcPr>
          <w:p>
            <w:pPr>
              <w:spacing w:line="280" w:lineRule="exact"/>
              <w:jc w:val="center"/>
              <w:rPr>
                <w:rFonts w:hint="eastAsia" w:ascii="Times New Roman" w:hAnsi="Times New Roman"/>
                <w:bCs/>
                <w:sz w:val="24"/>
                <w:szCs w:val="24"/>
              </w:rPr>
            </w:pPr>
            <w:r>
              <w:rPr>
                <w:rFonts w:hint="eastAsia" w:ascii="Times New Roman" w:hAnsi="Times New Roman"/>
                <w:bCs/>
                <w:sz w:val="24"/>
                <w:szCs w:val="24"/>
              </w:rPr>
              <w:t>2</w:t>
            </w:r>
            <w:r>
              <w:rPr>
                <w:rFonts w:ascii="Times New Roman" w:hAnsi="Times New Roman"/>
                <w:bCs/>
                <w:sz w:val="24"/>
                <w:szCs w:val="24"/>
              </w:rPr>
              <w:t>5</w:t>
            </w:r>
            <w:r>
              <w:rPr>
                <w:rFonts w:hint="eastAsia" w:ascii="Times New Roman" w:hAnsi="Times New Roman"/>
                <w:bCs/>
                <w:sz w:val="24"/>
                <w:szCs w:val="24"/>
              </w:rPr>
              <w:t>%</w:t>
            </w:r>
          </w:p>
        </w:tc>
        <w:tc>
          <w:tcPr>
            <w:tcW w:w="855"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bCs/>
                <w:sz w:val="24"/>
                <w:szCs w:val="24"/>
              </w:rPr>
            </w:pPr>
            <w:r>
              <w:rPr>
                <w:rFonts w:hint="eastAsia" w:ascii="Times New Roman" w:hAnsi="Times New Roman"/>
                <w:bCs/>
                <w:sz w:val="24"/>
                <w:szCs w:val="24"/>
              </w:rPr>
              <w:t>108090</w:t>
            </w:r>
          </w:p>
        </w:tc>
        <w:tc>
          <w:tcPr>
            <w:tcW w:w="443"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bCs/>
                <w:sz w:val="24"/>
                <w:szCs w:val="24"/>
              </w:rPr>
            </w:pPr>
            <w:r>
              <w:rPr>
                <w:rFonts w:hint="eastAsia" w:ascii="Times New Roman" w:hAnsi="Times New Roman"/>
                <w:bCs/>
                <w:sz w:val="24"/>
                <w:szCs w:val="24"/>
              </w:rPr>
              <w:t>6377310</w:t>
            </w:r>
          </w:p>
        </w:tc>
        <w:tc>
          <w:tcPr>
            <w:tcW w:w="425"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bCs/>
                <w:sz w:val="24"/>
                <w:szCs w:val="24"/>
              </w:rPr>
            </w:pPr>
            <w:r>
              <w:rPr>
                <w:rFonts w:hint="eastAsia" w:ascii="Times New Roman" w:hAnsi="Times New Roman"/>
                <w:bCs/>
                <w:sz w:val="24"/>
                <w:szCs w:val="24"/>
              </w:rPr>
              <w:t>32.01%</w:t>
            </w:r>
          </w:p>
        </w:tc>
        <w:tc>
          <w:tcPr>
            <w:tcW w:w="406"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bCs/>
                <w:sz w:val="24"/>
                <w:szCs w:val="24"/>
              </w:rPr>
            </w:pPr>
            <w:r>
              <w:rPr>
                <w:rFonts w:hint="eastAsia" w:ascii="Times New Roman" w:hAnsi="Times New Roman"/>
                <w:bCs/>
                <w:sz w:val="24"/>
                <w:szCs w:val="24"/>
              </w:rPr>
              <w:t>19.43%</w:t>
            </w: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bCs/>
                <w:sz w:val="24"/>
                <w:szCs w:val="24"/>
              </w:rPr>
            </w:pPr>
            <w:r>
              <w:rPr>
                <w:rFonts w:hint="eastAsia" w:ascii="Times New Roman" w:hAnsi="Times New Roman"/>
                <w:bCs/>
                <w:sz w:val="24"/>
                <w:szCs w:val="24"/>
              </w:rPr>
              <w:t>99.14%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357" w:hRule="exact"/>
          <w:jc w:val="center"/>
        </w:trPr>
        <w:tc>
          <w:tcPr>
            <w:tcW w:w="997"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exact"/>
              <w:jc w:val="center"/>
              <w:textAlignment w:val="center"/>
              <w:rPr>
                <w:rFonts w:ascii="Times New Roman" w:hAnsi="Times New Roman" w:eastAsiaTheme="minorEastAsia"/>
                <w:bCs/>
                <w:sz w:val="24"/>
                <w:szCs w:val="24"/>
              </w:rPr>
            </w:pPr>
            <w:r>
              <w:rPr>
                <w:rFonts w:hint="eastAsia" w:ascii="Times New Roman" w:hAnsi="Times New Roman" w:eastAsiaTheme="minorEastAsia"/>
                <w:bCs/>
                <w:sz w:val="24"/>
                <w:szCs w:val="24"/>
              </w:rPr>
              <w:t>注射用盐酸吉西他滨0.2g</w:t>
            </w:r>
          </w:p>
        </w:tc>
        <w:tc>
          <w:tcPr>
            <w:tcW w:w="12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exact"/>
              <w:jc w:val="center"/>
              <w:textAlignment w:val="center"/>
              <w:rPr>
                <w:rFonts w:ascii="Times New Roman" w:hAnsi="Times New Roman" w:eastAsiaTheme="minorEastAsia"/>
                <w:bCs/>
                <w:kern w:val="0"/>
                <w:sz w:val="24"/>
                <w:szCs w:val="24"/>
                <w:lang w:bidi="ar"/>
              </w:rPr>
            </w:pPr>
            <w:r>
              <w:rPr>
                <w:rFonts w:hint="eastAsia" w:ascii="Times New Roman" w:hAnsi="Times New Roman" w:eastAsiaTheme="minorEastAsia"/>
                <w:bCs/>
                <w:kern w:val="0"/>
                <w:sz w:val="24"/>
                <w:szCs w:val="24"/>
                <w:lang w:bidi="ar"/>
              </w:rPr>
              <w:t>齐鲁制药（海南）有限公司</w:t>
            </w:r>
          </w:p>
        </w:tc>
        <w:tc>
          <w:tcPr>
            <w:tcW w:w="258" w:type="pct"/>
            <w:tcBorders>
              <w:top w:val="single" w:color="auto" w:sz="4" w:space="0"/>
              <w:left w:val="single" w:color="auto" w:sz="4" w:space="0"/>
              <w:bottom w:val="single" w:color="auto" w:sz="4" w:space="0"/>
              <w:right w:val="single" w:color="auto" w:sz="4" w:space="0"/>
            </w:tcBorders>
          </w:tcPr>
          <w:p>
            <w:pPr>
              <w:spacing w:line="280" w:lineRule="exact"/>
              <w:jc w:val="center"/>
              <w:rPr>
                <w:rFonts w:hint="eastAsia" w:ascii="Times New Roman" w:hAnsi="Times New Roman"/>
                <w:bCs/>
                <w:sz w:val="24"/>
                <w:szCs w:val="24"/>
              </w:rPr>
            </w:pPr>
            <w:r>
              <w:rPr>
                <w:rFonts w:hint="eastAsia" w:ascii="Times New Roman" w:hAnsi="Times New Roman"/>
                <w:bCs/>
                <w:sz w:val="24"/>
                <w:szCs w:val="24"/>
              </w:rPr>
              <w:t>5</w:t>
            </w:r>
            <w:r>
              <w:rPr>
                <w:rFonts w:ascii="Times New Roman" w:hAnsi="Times New Roman"/>
                <w:bCs/>
                <w:sz w:val="24"/>
                <w:szCs w:val="24"/>
              </w:rPr>
              <w:t>0</w:t>
            </w:r>
            <w:r>
              <w:rPr>
                <w:rFonts w:hint="eastAsia" w:ascii="Times New Roman" w:hAnsi="Times New Roman"/>
                <w:bCs/>
                <w:sz w:val="24"/>
                <w:szCs w:val="24"/>
              </w:rPr>
              <w:t>%</w:t>
            </w:r>
          </w:p>
        </w:tc>
        <w:tc>
          <w:tcPr>
            <w:tcW w:w="855"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bCs/>
                <w:sz w:val="24"/>
                <w:szCs w:val="24"/>
              </w:rPr>
            </w:pPr>
            <w:r>
              <w:rPr>
                <w:rFonts w:hint="eastAsia" w:ascii="Times New Roman" w:hAnsi="Times New Roman"/>
                <w:bCs/>
                <w:sz w:val="24"/>
                <w:szCs w:val="24"/>
              </w:rPr>
              <w:t>92404</w:t>
            </w:r>
          </w:p>
        </w:tc>
        <w:tc>
          <w:tcPr>
            <w:tcW w:w="443"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bCs/>
                <w:sz w:val="24"/>
                <w:szCs w:val="24"/>
              </w:rPr>
            </w:pPr>
            <w:r>
              <w:rPr>
                <w:rFonts w:hint="eastAsia" w:ascii="Times New Roman" w:hAnsi="Times New Roman"/>
                <w:bCs/>
                <w:sz w:val="24"/>
                <w:szCs w:val="24"/>
              </w:rPr>
              <w:t>1384211.92</w:t>
            </w:r>
          </w:p>
        </w:tc>
        <w:tc>
          <w:tcPr>
            <w:tcW w:w="425"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bCs/>
                <w:sz w:val="24"/>
                <w:szCs w:val="24"/>
              </w:rPr>
            </w:pPr>
            <w:r>
              <w:rPr>
                <w:rFonts w:hint="eastAsia" w:ascii="Times New Roman" w:hAnsi="Times New Roman"/>
                <w:bCs/>
                <w:sz w:val="24"/>
                <w:szCs w:val="24"/>
              </w:rPr>
              <w:t>99.16%</w:t>
            </w:r>
          </w:p>
        </w:tc>
        <w:tc>
          <w:tcPr>
            <w:tcW w:w="406"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bCs/>
                <w:sz w:val="24"/>
                <w:szCs w:val="24"/>
              </w:rPr>
            </w:pPr>
            <w:r>
              <w:rPr>
                <w:rFonts w:hint="eastAsia" w:ascii="Times New Roman" w:hAnsi="Times New Roman"/>
                <w:bCs/>
                <w:sz w:val="24"/>
                <w:szCs w:val="24"/>
              </w:rPr>
              <w:t>90.35%</w:t>
            </w: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bCs/>
                <w:sz w:val="24"/>
                <w:szCs w:val="24"/>
              </w:rPr>
            </w:pPr>
            <w:r>
              <w:rPr>
                <w:rFonts w:hint="eastAsia" w:ascii="Times New Roman" w:hAnsi="Times New Roman"/>
                <w:bCs/>
                <w:sz w:val="24"/>
                <w:szCs w:val="24"/>
              </w:rPr>
              <w:t>81.23%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357" w:hRule="exact"/>
          <w:jc w:val="center"/>
        </w:trPr>
        <w:tc>
          <w:tcPr>
            <w:tcW w:w="997"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exact"/>
              <w:jc w:val="center"/>
              <w:textAlignment w:val="center"/>
              <w:rPr>
                <w:rFonts w:ascii="Times New Roman" w:hAnsi="Times New Roman" w:eastAsiaTheme="minorEastAsia"/>
                <w:bCs/>
                <w:sz w:val="24"/>
                <w:szCs w:val="24"/>
              </w:rPr>
            </w:pPr>
            <w:r>
              <w:rPr>
                <w:rFonts w:hint="eastAsia" w:ascii="Times New Roman" w:hAnsi="Times New Roman" w:eastAsiaTheme="minorEastAsia"/>
                <w:bCs/>
                <w:sz w:val="24"/>
                <w:szCs w:val="24"/>
              </w:rPr>
              <w:t>注射用盐酸吉西他滨1g</w:t>
            </w:r>
          </w:p>
        </w:tc>
        <w:tc>
          <w:tcPr>
            <w:tcW w:w="12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exact"/>
              <w:jc w:val="center"/>
              <w:textAlignment w:val="center"/>
              <w:rPr>
                <w:rFonts w:ascii="Times New Roman" w:hAnsi="Times New Roman" w:eastAsiaTheme="minorEastAsia"/>
                <w:bCs/>
                <w:kern w:val="0"/>
                <w:sz w:val="24"/>
                <w:szCs w:val="24"/>
                <w:lang w:bidi="ar"/>
              </w:rPr>
            </w:pPr>
            <w:r>
              <w:rPr>
                <w:rFonts w:hint="eastAsia" w:ascii="Times New Roman" w:hAnsi="Times New Roman" w:eastAsiaTheme="minorEastAsia"/>
                <w:bCs/>
                <w:kern w:val="0"/>
                <w:sz w:val="24"/>
                <w:szCs w:val="24"/>
                <w:lang w:bidi="ar"/>
              </w:rPr>
              <w:t>齐鲁制药（海南）有限公司</w:t>
            </w:r>
          </w:p>
        </w:tc>
        <w:tc>
          <w:tcPr>
            <w:tcW w:w="258" w:type="pct"/>
            <w:tcBorders>
              <w:top w:val="single" w:color="auto" w:sz="4" w:space="0"/>
              <w:left w:val="single" w:color="auto" w:sz="4" w:space="0"/>
              <w:bottom w:val="single" w:color="auto" w:sz="4" w:space="0"/>
              <w:right w:val="single" w:color="auto" w:sz="4" w:space="0"/>
            </w:tcBorders>
          </w:tcPr>
          <w:p>
            <w:pPr>
              <w:spacing w:line="280" w:lineRule="exact"/>
              <w:jc w:val="center"/>
              <w:rPr>
                <w:rFonts w:hint="eastAsia" w:ascii="Times New Roman" w:hAnsi="Times New Roman"/>
                <w:bCs/>
                <w:sz w:val="24"/>
                <w:szCs w:val="24"/>
              </w:rPr>
            </w:pPr>
            <w:r>
              <w:rPr>
                <w:rFonts w:hint="eastAsia" w:ascii="Times New Roman" w:hAnsi="Times New Roman"/>
                <w:bCs/>
                <w:sz w:val="24"/>
                <w:szCs w:val="24"/>
              </w:rPr>
              <w:t>5</w:t>
            </w:r>
            <w:r>
              <w:rPr>
                <w:rFonts w:ascii="Times New Roman" w:hAnsi="Times New Roman"/>
                <w:bCs/>
                <w:sz w:val="24"/>
                <w:szCs w:val="24"/>
              </w:rPr>
              <w:t>0</w:t>
            </w:r>
            <w:r>
              <w:rPr>
                <w:rFonts w:hint="eastAsia" w:ascii="Times New Roman" w:hAnsi="Times New Roman"/>
                <w:bCs/>
                <w:sz w:val="24"/>
                <w:szCs w:val="24"/>
              </w:rPr>
              <w:t>%</w:t>
            </w:r>
          </w:p>
        </w:tc>
        <w:tc>
          <w:tcPr>
            <w:tcW w:w="855"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bCs/>
                <w:sz w:val="24"/>
                <w:szCs w:val="24"/>
              </w:rPr>
            </w:pPr>
            <w:r>
              <w:rPr>
                <w:rFonts w:hint="eastAsia" w:ascii="Times New Roman" w:hAnsi="Times New Roman"/>
                <w:bCs/>
                <w:sz w:val="24"/>
                <w:szCs w:val="24"/>
              </w:rPr>
              <w:t>4776</w:t>
            </w:r>
          </w:p>
        </w:tc>
        <w:tc>
          <w:tcPr>
            <w:tcW w:w="443"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bCs/>
                <w:sz w:val="24"/>
                <w:szCs w:val="24"/>
              </w:rPr>
            </w:pPr>
            <w:r>
              <w:rPr>
                <w:rFonts w:hint="eastAsia" w:ascii="Times New Roman" w:hAnsi="Times New Roman"/>
                <w:bCs/>
                <w:sz w:val="24"/>
                <w:szCs w:val="24"/>
              </w:rPr>
              <w:t>245295.36</w:t>
            </w:r>
          </w:p>
        </w:tc>
        <w:tc>
          <w:tcPr>
            <w:tcW w:w="425"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bCs/>
                <w:sz w:val="24"/>
                <w:szCs w:val="24"/>
              </w:rPr>
            </w:pPr>
            <w:r>
              <w:rPr>
                <w:rFonts w:hint="eastAsia" w:ascii="Times New Roman" w:hAnsi="Times New Roman"/>
                <w:bCs/>
                <w:sz w:val="24"/>
                <w:szCs w:val="24"/>
              </w:rPr>
              <w:t>165.60%</w:t>
            </w:r>
          </w:p>
        </w:tc>
        <w:tc>
          <w:tcPr>
            <w:tcW w:w="406"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bCs/>
                <w:sz w:val="24"/>
                <w:szCs w:val="24"/>
              </w:rPr>
            </w:pPr>
            <w:r>
              <w:rPr>
                <w:rFonts w:hint="eastAsia" w:ascii="Times New Roman" w:hAnsi="Times New Roman"/>
                <w:bCs/>
                <w:sz w:val="24"/>
                <w:szCs w:val="24"/>
              </w:rPr>
              <w:t>91.44%</w:t>
            </w: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bCs/>
                <w:sz w:val="24"/>
                <w:szCs w:val="24"/>
              </w:rPr>
            </w:pPr>
            <w:r>
              <w:rPr>
                <w:rFonts w:hint="eastAsia" w:ascii="Times New Roman" w:hAnsi="Times New Roman"/>
                <w:bCs/>
                <w:sz w:val="24"/>
                <w:szCs w:val="24"/>
              </w:rPr>
              <w:t>91.66%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250" w:hRule="atLeast"/>
          <w:jc w:val="center"/>
        </w:trPr>
        <w:tc>
          <w:tcPr>
            <w:tcW w:w="997"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exact"/>
              <w:jc w:val="center"/>
              <w:textAlignment w:val="center"/>
              <w:rPr>
                <w:rFonts w:ascii="Times New Roman" w:hAnsi="Times New Roman" w:eastAsiaTheme="minorEastAsia"/>
                <w:b/>
                <w:sz w:val="24"/>
                <w:szCs w:val="24"/>
              </w:rPr>
            </w:pPr>
            <w:r>
              <w:rPr>
                <w:rFonts w:hint="eastAsia" w:ascii="Times New Roman" w:hAnsi="Times New Roman" w:eastAsiaTheme="minorEastAsia"/>
                <w:b/>
                <w:sz w:val="24"/>
                <w:szCs w:val="24"/>
              </w:rPr>
              <w:t>总计</w:t>
            </w:r>
          </w:p>
        </w:tc>
        <w:tc>
          <w:tcPr>
            <w:tcW w:w="12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exact"/>
              <w:jc w:val="center"/>
              <w:textAlignment w:val="center"/>
              <w:rPr>
                <w:rFonts w:ascii="Times New Roman" w:hAnsi="Times New Roman" w:eastAsiaTheme="minorEastAsia"/>
                <w:b/>
                <w:kern w:val="0"/>
                <w:sz w:val="24"/>
                <w:szCs w:val="24"/>
                <w:lang w:bidi="ar"/>
              </w:rPr>
            </w:pPr>
          </w:p>
        </w:tc>
        <w:tc>
          <w:tcPr>
            <w:tcW w:w="258" w:type="pct"/>
            <w:tcBorders>
              <w:top w:val="single" w:color="auto" w:sz="4" w:space="0"/>
              <w:left w:val="single" w:color="auto" w:sz="4" w:space="0"/>
              <w:bottom w:val="single" w:color="auto" w:sz="4" w:space="0"/>
              <w:right w:val="single" w:color="auto" w:sz="4" w:space="0"/>
            </w:tcBorders>
          </w:tcPr>
          <w:p>
            <w:pPr>
              <w:spacing w:line="280" w:lineRule="exact"/>
              <w:jc w:val="center"/>
              <w:rPr>
                <w:rFonts w:hint="eastAsia" w:ascii="Times New Roman" w:hAnsi="Times New Roman"/>
                <w:b/>
                <w:sz w:val="24"/>
                <w:szCs w:val="24"/>
              </w:rPr>
            </w:pPr>
          </w:p>
        </w:tc>
        <w:tc>
          <w:tcPr>
            <w:tcW w:w="855"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b/>
                <w:sz w:val="24"/>
                <w:szCs w:val="24"/>
              </w:rPr>
            </w:pPr>
            <w:r>
              <w:rPr>
                <w:rFonts w:hint="eastAsia" w:ascii="Times New Roman" w:hAnsi="Times New Roman"/>
                <w:b/>
                <w:sz w:val="24"/>
                <w:szCs w:val="24"/>
              </w:rPr>
              <w:t>16400561</w:t>
            </w:r>
          </w:p>
        </w:tc>
        <w:tc>
          <w:tcPr>
            <w:tcW w:w="443"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b/>
                <w:sz w:val="24"/>
                <w:szCs w:val="24"/>
              </w:rPr>
            </w:pPr>
            <w:r>
              <w:rPr>
                <w:rFonts w:hint="eastAsia" w:ascii="Times New Roman" w:hAnsi="Times New Roman"/>
                <w:b/>
                <w:sz w:val="24"/>
                <w:szCs w:val="24"/>
              </w:rPr>
              <w:t>74013472.52</w:t>
            </w:r>
          </w:p>
        </w:tc>
        <w:tc>
          <w:tcPr>
            <w:tcW w:w="425"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b/>
                <w:sz w:val="24"/>
                <w:szCs w:val="24"/>
              </w:rPr>
            </w:pPr>
            <w:r>
              <w:rPr>
                <w:rFonts w:hint="eastAsia" w:ascii="Times New Roman" w:hAnsi="Times New Roman"/>
                <w:b/>
                <w:sz w:val="24"/>
                <w:szCs w:val="24"/>
              </w:rPr>
              <w:t>78.67%</w:t>
            </w:r>
          </w:p>
        </w:tc>
        <w:tc>
          <w:tcPr>
            <w:tcW w:w="406"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jc w:val="center"/>
              <w:rPr>
                <w:rFonts w:ascii="Times New Roman" w:hAnsi="Times New Roman"/>
                <w:b/>
                <w:sz w:val="24"/>
                <w:szCs w:val="24"/>
              </w:rPr>
            </w:pPr>
            <w:r>
              <w:rPr>
                <w:rFonts w:hint="eastAsia" w:ascii="Times New Roman" w:hAnsi="Times New Roman"/>
                <w:b/>
                <w:sz w:val="24"/>
                <w:szCs w:val="24"/>
              </w:rPr>
              <w:t>89.22%</w:t>
            </w: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b/>
                <w:sz w:val="24"/>
                <w:szCs w:val="24"/>
              </w:rPr>
            </w:pPr>
            <w:r>
              <w:rPr>
                <w:rFonts w:hint="eastAsia" w:ascii="Times New Roman" w:hAnsi="Times New Roman"/>
                <w:b/>
                <w:sz w:val="24"/>
                <w:szCs w:val="24"/>
              </w:rPr>
              <w:t>83.66%</w:t>
            </w:r>
          </w:p>
        </w:tc>
      </w:tr>
    </w:tbl>
    <w:p/>
    <w:sectPr>
      <w:pgSz w:w="16838" w:h="11906" w:orient="landscape"/>
      <w:pgMar w:top="1797" w:right="1440" w:bottom="1797" w:left="1440" w:header="851" w:footer="992"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C038E2"/>
    <w:rsid w:val="00032C50"/>
    <w:rsid w:val="000C484C"/>
    <w:rsid w:val="00174625"/>
    <w:rsid w:val="00193C50"/>
    <w:rsid w:val="001A6272"/>
    <w:rsid w:val="001D0DFF"/>
    <w:rsid w:val="002F5FBB"/>
    <w:rsid w:val="00313285"/>
    <w:rsid w:val="00315F9C"/>
    <w:rsid w:val="00364154"/>
    <w:rsid w:val="003E7C4F"/>
    <w:rsid w:val="00404A44"/>
    <w:rsid w:val="004671B8"/>
    <w:rsid w:val="00474E9F"/>
    <w:rsid w:val="004F5C99"/>
    <w:rsid w:val="00513731"/>
    <w:rsid w:val="00643329"/>
    <w:rsid w:val="00675698"/>
    <w:rsid w:val="006D0F96"/>
    <w:rsid w:val="0072730A"/>
    <w:rsid w:val="007E68B5"/>
    <w:rsid w:val="0088240A"/>
    <w:rsid w:val="0089322E"/>
    <w:rsid w:val="008E75DC"/>
    <w:rsid w:val="009C1999"/>
    <w:rsid w:val="009C1C4A"/>
    <w:rsid w:val="009E3E6C"/>
    <w:rsid w:val="00A0663B"/>
    <w:rsid w:val="00A404B5"/>
    <w:rsid w:val="00B51E57"/>
    <w:rsid w:val="00D15198"/>
    <w:rsid w:val="00D42526"/>
    <w:rsid w:val="00DF6EBC"/>
    <w:rsid w:val="00E00A9C"/>
    <w:rsid w:val="00E13B98"/>
    <w:rsid w:val="00F0483A"/>
    <w:rsid w:val="00F4133B"/>
    <w:rsid w:val="0AF14B9F"/>
    <w:rsid w:val="0D2C1CA2"/>
    <w:rsid w:val="24B651B6"/>
    <w:rsid w:val="5107710C"/>
    <w:rsid w:val="6FC03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customStyle="1" w:styleId="6">
    <w:name w:val="列表段落1"/>
    <w:basedOn w:val="1"/>
    <w:qFormat/>
    <w:uiPriority w:val="34"/>
    <w:pPr>
      <w:ind w:firstLine="420" w:firstLineChars="200"/>
    </w:pPr>
    <w:rPr>
      <w:rFonts w:eastAsia="仿宋"/>
      <w:sz w:val="24"/>
      <w:szCs w:val="24"/>
    </w:rPr>
  </w:style>
  <w:style w:type="character" w:customStyle="1" w:styleId="7">
    <w:name w:val="页眉 字符"/>
    <w:basedOn w:val="5"/>
    <w:link w:val="3"/>
    <w:uiPriority w:val="0"/>
    <w:rPr>
      <w:rFonts w:ascii="Calibri" w:hAnsi="Calibri"/>
      <w:kern w:val="2"/>
      <w:sz w:val="18"/>
      <w:szCs w:val="18"/>
    </w:rPr>
  </w:style>
  <w:style w:type="character" w:customStyle="1" w:styleId="8">
    <w:name w:val="页脚 字符"/>
    <w:basedOn w:val="5"/>
    <w:link w:val="2"/>
    <w:uiPriority w:val="0"/>
    <w:rPr>
      <w:rFonts w:ascii="Calibri" w:hAnsi="Calibri"/>
      <w:kern w:val="2"/>
      <w:sz w:val="18"/>
      <w:szCs w:val="18"/>
    </w:rPr>
  </w:style>
  <w:style w:type="paragraph" w:styleId="9">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1532</Words>
  <Characters>8734</Characters>
  <Lines>72</Lines>
  <Paragraphs>20</Paragraphs>
  <TotalTime>187</TotalTime>
  <ScaleCrop>false</ScaleCrop>
  <LinksUpToDate>false</LinksUpToDate>
  <CharactersWithSpaces>10246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2021-04-28T03:13:00Z</dcterms:created>
  <dc:creator>不二</dc:creator>
  <cp:lastModifiedBy>心中的太阳</cp:lastModifiedBy>
  <dcterms:modified xsi:type="dcterms:W3CDTF">2021-05-31T09:26:53Z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2379E5EE6C914129A1F1B1A4BBF7749D</vt:lpwstr>
  </property>
</Properties>
</file>