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F0" w:rsidRDefault="00B72DF0" w:rsidP="00B72DF0">
      <w:pPr>
        <w:jc w:val="center"/>
        <w:rPr>
          <w:rFonts w:ascii="仿宋_GB2312"/>
          <w:szCs w:val="32"/>
        </w:rPr>
      </w:pPr>
    </w:p>
    <w:p w:rsidR="00B72DF0" w:rsidRDefault="00B72DF0" w:rsidP="00B72DF0">
      <w:pPr>
        <w:jc w:val="center"/>
        <w:rPr>
          <w:rFonts w:ascii="仿宋_GB2312"/>
          <w:szCs w:val="32"/>
        </w:rPr>
      </w:pPr>
    </w:p>
    <w:p w:rsidR="00B72DF0" w:rsidRPr="007A6062" w:rsidRDefault="00B72DF0" w:rsidP="00B72DF0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7A6062">
        <w:rPr>
          <w:rFonts w:asciiTheme="majorEastAsia" w:eastAsiaTheme="majorEastAsia" w:hAnsiTheme="majorEastAsia" w:hint="eastAsia"/>
          <w:sz w:val="44"/>
          <w:szCs w:val="44"/>
        </w:rPr>
        <w:t>《辽宁省药品监督管理局行政处罚裁量权适用规定》</w:t>
      </w:r>
      <w:bookmarkStart w:id="0" w:name="_GoBack"/>
      <w:bookmarkEnd w:id="0"/>
      <w:r w:rsidRPr="007A6062">
        <w:rPr>
          <w:rFonts w:asciiTheme="majorEastAsia" w:eastAsiaTheme="majorEastAsia" w:hAnsiTheme="majorEastAsia" w:hint="eastAsia"/>
          <w:sz w:val="44"/>
          <w:szCs w:val="44"/>
        </w:rPr>
        <w:t>修正意见</w:t>
      </w:r>
    </w:p>
    <w:p w:rsidR="00B72DF0" w:rsidRDefault="00B72DF0" w:rsidP="00E77305">
      <w:pPr>
        <w:ind w:firstLineChars="250" w:firstLine="790"/>
        <w:rPr>
          <w:rFonts w:ascii="仿宋_GB2312"/>
          <w:szCs w:val="32"/>
        </w:rPr>
      </w:pPr>
    </w:p>
    <w:p w:rsidR="00E77305" w:rsidRPr="00E77305" w:rsidRDefault="00E77305" w:rsidP="00E77305">
      <w:pPr>
        <w:ind w:firstLineChars="250" w:firstLine="790"/>
        <w:rPr>
          <w:rFonts w:ascii="仿宋_GB2312"/>
          <w:szCs w:val="32"/>
        </w:rPr>
      </w:pPr>
      <w:r w:rsidRPr="00E77305">
        <w:rPr>
          <w:rFonts w:ascii="仿宋_GB2312" w:hint="eastAsia"/>
          <w:szCs w:val="32"/>
        </w:rPr>
        <w:t>依据《中华人民共和国行政处罚法》（2021年1月22日修订）对《辽宁省药品监督管理局行政处罚裁量权适用规定》作出修改。将第七条第（五）项修改为“除法律另有规定外，违法行为在二年内未被发现的；有危害后果的，上述期限延长至五年”。</w:t>
      </w:r>
    </w:p>
    <w:sectPr w:rsidR="00E77305" w:rsidRPr="00E77305" w:rsidSect="00E77305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DAC" w:rsidRDefault="00503DAC" w:rsidP="00B72DF0">
      <w:r>
        <w:separator/>
      </w:r>
    </w:p>
  </w:endnote>
  <w:endnote w:type="continuationSeparator" w:id="0">
    <w:p w:rsidR="00503DAC" w:rsidRDefault="00503DAC" w:rsidP="00B7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DAC" w:rsidRDefault="00503DAC" w:rsidP="00B72DF0">
      <w:r>
        <w:separator/>
      </w:r>
    </w:p>
  </w:footnote>
  <w:footnote w:type="continuationSeparator" w:id="0">
    <w:p w:rsidR="00503DAC" w:rsidRDefault="00503DAC" w:rsidP="00B72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5"/>
    <w:rsid w:val="00503DAC"/>
    <w:rsid w:val="00636CF3"/>
    <w:rsid w:val="007A6062"/>
    <w:rsid w:val="008F3D9E"/>
    <w:rsid w:val="00B72DF0"/>
    <w:rsid w:val="00E7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633EAC-C2D6-44FE-B01C-23C0B9B9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305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DF0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DF0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124</Characters>
  <Application>Microsoft Office Word</Application>
  <DocSecurity>0</DocSecurity>
  <Lines>1</Lines>
  <Paragraphs>1</Paragraphs>
  <ScaleCrop>false</ScaleCrop>
  <Company>Lenovo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陈鼎新</dc:creator>
  <cp:keywords/>
  <dc:description/>
  <cp:lastModifiedBy>王军</cp:lastModifiedBy>
  <cp:revision>3</cp:revision>
  <dcterms:created xsi:type="dcterms:W3CDTF">2021-05-18T01:06:00Z</dcterms:created>
  <dcterms:modified xsi:type="dcterms:W3CDTF">2021-05-18T02:15:00Z</dcterms:modified>
</cp:coreProperties>
</file>