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00" w:lineRule="exact"/>
        <w:ind w:left="0" w:hanging="1372" w:hangingChars="400"/>
        <w:jc w:val="center"/>
        <w:rPr>
          <w:rFonts w:hint="default" w:ascii="Times New Roman" w:hAnsi="Times New Roman" w:eastAsia="方正小标宋简体" w:cs="Times New Roman"/>
          <w:b w:val="0"/>
          <w:bCs w:val="0"/>
          <w:sz w:val="36"/>
          <w:szCs w:val="36"/>
        </w:rPr>
      </w:pPr>
    </w:p>
    <w:p>
      <w:pPr>
        <w:snapToGrid w:val="0"/>
        <w:spacing w:line="200" w:lineRule="exact"/>
        <w:ind w:left="0" w:hanging="1372" w:hangingChars="400"/>
        <w:jc w:val="center"/>
        <w:rPr>
          <w:rFonts w:hint="default" w:ascii="Times New Roman" w:hAnsi="Times New Roman" w:eastAsia="方正小标宋简体" w:cs="Times New Roman"/>
          <w:b w:val="0"/>
          <w:bCs w:val="0"/>
          <w:sz w:val="36"/>
          <w:szCs w:val="36"/>
        </w:rPr>
      </w:pPr>
    </w:p>
    <w:p>
      <w:pPr>
        <w:snapToGrid w:val="0"/>
        <w:spacing w:line="600" w:lineRule="exact"/>
        <w:ind w:left="1440" w:hanging="1692" w:hangingChars="400"/>
        <w:jc w:val="center"/>
        <w:rPr>
          <w:rFonts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2021年天津市卫生健康领域“双随机、一公开”</w:t>
      </w:r>
    </w:p>
    <w:p>
      <w:pPr>
        <w:snapToGrid w:val="0"/>
        <w:spacing w:line="600" w:lineRule="exact"/>
        <w:ind w:left="1440" w:hanging="1692" w:hangingChars="400"/>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日常监督检查计划</w:t>
      </w:r>
    </w:p>
    <w:tbl>
      <w:tblPr>
        <w:tblStyle w:val="4"/>
        <w:tblW w:w="14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2430"/>
        <w:gridCol w:w="3825"/>
        <w:gridCol w:w="1995"/>
        <w:gridCol w:w="1192"/>
        <w:gridCol w:w="1124"/>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8" w:type="dxa"/>
            <w:vMerge w:val="restart"/>
            <w:shd w:val="clear" w:color="auto" w:fill="auto"/>
            <w:vAlign w:val="center"/>
          </w:tcPr>
          <w:p>
            <w:pPr>
              <w:snapToGrid w:val="0"/>
              <w:jc w:val="center"/>
              <w:rPr>
                <w:rFonts w:ascii="Times New Roman" w:hAnsi="Times New Roman" w:eastAsia="黑体"/>
                <w:b w:val="0"/>
                <w:bCs w:val="0"/>
                <w:color w:val="000000" w:themeColor="text1"/>
                <w:sz w:val="24"/>
                <w:szCs w:val="24"/>
                <w14:textFill>
                  <w14:solidFill>
                    <w14:schemeClr w14:val="tx1"/>
                  </w14:solidFill>
                </w14:textFill>
              </w:rPr>
            </w:pPr>
            <w:bookmarkStart w:id="0" w:name="_Hlk41636993"/>
            <w:r>
              <w:rPr>
                <w:rFonts w:hint="default" w:ascii="Times New Roman" w:hAnsi="Times New Roman" w:eastAsia="黑体"/>
                <w:b w:val="0"/>
                <w:bCs w:val="0"/>
                <w:color w:val="000000" w:themeColor="text1"/>
                <w:sz w:val="24"/>
                <w:szCs w:val="24"/>
                <w14:textFill>
                  <w14:solidFill>
                    <w14:schemeClr w14:val="tx1"/>
                  </w14:solidFill>
                </w14:textFill>
              </w:rPr>
              <w:t>抽查计划名称</w:t>
            </w:r>
          </w:p>
        </w:tc>
        <w:tc>
          <w:tcPr>
            <w:tcW w:w="2430" w:type="dxa"/>
            <w:vMerge w:val="restart"/>
            <w:shd w:val="clear" w:color="auto" w:fill="auto"/>
            <w:vAlign w:val="center"/>
          </w:tcPr>
          <w:p>
            <w:pPr>
              <w:snapToGrid w:val="0"/>
              <w:jc w:val="center"/>
              <w:rPr>
                <w:rFonts w:ascii="Times New Roman" w:hAnsi="Times New Roman" w:eastAsia="黑体"/>
                <w:b w:val="0"/>
                <w:bCs w:val="0"/>
                <w:color w:val="000000" w:themeColor="text1"/>
                <w:sz w:val="24"/>
                <w:szCs w:val="24"/>
                <w14:textFill>
                  <w14:solidFill>
                    <w14:schemeClr w14:val="tx1"/>
                  </w14:solidFill>
                </w14:textFill>
              </w:rPr>
            </w:pPr>
            <w:r>
              <w:rPr>
                <w:rFonts w:hint="default" w:ascii="Times New Roman" w:hAnsi="Times New Roman" w:eastAsia="黑体"/>
                <w:b w:val="0"/>
                <w:bCs w:val="0"/>
                <w:color w:val="000000" w:themeColor="text1"/>
                <w:sz w:val="24"/>
                <w:szCs w:val="24"/>
                <w14:textFill>
                  <w14:solidFill>
                    <w14:schemeClr w14:val="tx1"/>
                  </w14:solidFill>
                </w14:textFill>
              </w:rPr>
              <w:t>抽查类别</w:t>
            </w:r>
          </w:p>
        </w:tc>
        <w:tc>
          <w:tcPr>
            <w:tcW w:w="3825" w:type="dxa"/>
            <w:vMerge w:val="restart"/>
            <w:shd w:val="clear" w:color="auto" w:fill="auto"/>
            <w:vAlign w:val="center"/>
          </w:tcPr>
          <w:p>
            <w:pPr>
              <w:snapToGrid w:val="0"/>
              <w:jc w:val="center"/>
              <w:rPr>
                <w:rFonts w:ascii="Times New Roman" w:hAnsi="Times New Roman" w:eastAsia="黑体"/>
                <w:b w:val="0"/>
                <w:bCs w:val="0"/>
                <w:color w:val="000000" w:themeColor="text1"/>
                <w:sz w:val="24"/>
                <w:szCs w:val="24"/>
                <w14:textFill>
                  <w14:solidFill>
                    <w14:schemeClr w14:val="tx1"/>
                  </w14:solidFill>
                </w14:textFill>
              </w:rPr>
            </w:pPr>
            <w:r>
              <w:rPr>
                <w:rFonts w:hint="default" w:ascii="Times New Roman" w:hAnsi="Times New Roman" w:eastAsia="黑体"/>
                <w:b w:val="0"/>
                <w:bCs w:val="0"/>
                <w:color w:val="000000" w:themeColor="text1"/>
                <w:sz w:val="24"/>
                <w:szCs w:val="24"/>
                <w14:textFill>
                  <w14:solidFill>
                    <w14:schemeClr w14:val="tx1"/>
                  </w14:solidFill>
                </w14:textFill>
              </w:rPr>
              <w:t>抽查对象</w:t>
            </w:r>
          </w:p>
        </w:tc>
        <w:tc>
          <w:tcPr>
            <w:tcW w:w="4311" w:type="dxa"/>
            <w:gridSpan w:val="3"/>
            <w:shd w:val="clear" w:color="auto" w:fill="auto"/>
            <w:vAlign w:val="center"/>
          </w:tcPr>
          <w:p>
            <w:pPr>
              <w:snapToGrid w:val="0"/>
              <w:jc w:val="center"/>
              <w:rPr>
                <w:rFonts w:ascii="Times New Roman" w:hAnsi="Times New Roman" w:eastAsia="黑体"/>
                <w:b w:val="0"/>
                <w:bCs w:val="0"/>
                <w:color w:val="000000" w:themeColor="text1"/>
                <w:sz w:val="24"/>
                <w:szCs w:val="24"/>
                <w14:textFill>
                  <w14:solidFill>
                    <w14:schemeClr w14:val="tx1"/>
                  </w14:solidFill>
                </w14:textFill>
              </w:rPr>
            </w:pPr>
            <w:r>
              <w:rPr>
                <w:rFonts w:hint="default" w:ascii="Times New Roman" w:hAnsi="Times New Roman" w:eastAsia="黑体"/>
                <w:b w:val="0"/>
                <w:bCs w:val="0"/>
                <w:color w:val="000000" w:themeColor="text1"/>
                <w:sz w:val="24"/>
                <w:szCs w:val="24"/>
                <w14:textFill>
                  <w14:solidFill>
                    <w14:schemeClr w14:val="tx1"/>
                  </w14:solidFill>
                </w14:textFill>
              </w:rPr>
              <w:t>抽查比例</w:t>
            </w:r>
          </w:p>
        </w:tc>
        <w:tc>
          <w:tcPr>
            <w:tcW w:w="2409" w:type="dxa"/>
            <w:vMerge w:val="restart"/>
            <w:shd w:val="clear" w:color="auto" w:fill="auto"/>
            <w:vAlign w:val="center"/>
          </w:tcPr>
          <w:p>
            <w:pPr>
              <w:snapToGrid w:val="0"/>
              <w:jc w:val="center"/>
              <w:rPr>
                <w:rFonts w:ascii="Times New Roman" w:hAnsi="Times New Roman" w:eastAsia="黑体"/>
                <w:b w:val="0"/>
                <w:bCs w:val="0"/>
                <w:color w:val="000000" w:themeColor="text1"/>
                <w:sz w:val="24"/>
                <w:szCs w:val="24"/>
                <w14:textFill>
                  <w14:solidFill>
                    <w14:schemeClr w14:val="tx1"/>
                  </w14:solidFill>
                </w14:textFill>
              </w:rPr>
            </w:pPr>
            <w:r>
              <w:rPr>
                <w:rFonts w:hint="default" w:ascii="Times New Roman" w:hAnsi="Times New Roman" w:eastAsia="黑体"/>
                <w:b w:val="0"/>
                <w:bCs w:val="0"/>
                <w:color w:val="000000" w:themeColor="text1"/>
                <w:sz w:val="24"/>
                <w:szCs w:val="24"/>
                <w14:textFill>
                  <w14:solidFill>
                    <w14:schemeClr w14:val="tx1"/>
                  </w14:solidFill>
                </w14:textFill>
              </w:rPr>
              <w:t>抽取规则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8" w:type="dxa"/>
            <w:vMerge w:val="continue"/>
            <w:shd w:val="clear" w:color="auto" w:fill="auto"/>
            <w:vAlign w:val="center"/>
          </w:tcPr>
          <w:p>
            <w:pPr>
              <w:snapToGrid w:val="0"/>
              <w:jc w:val="center"/>
              <w:rPr>
                <w:rFonts w:ascii="Times New Roman" w:hAnsi="Times New Roman" w:eastAsia="黑体"/>
                <w:b w:val="0"/>
                <w:bCs w:val="0"/>
                <w:color w:val="000000" w:themeColor="text1"/>
                <w:sz w:val="24"/>
                <w:szCs w:val="24"/>
                <w14:textFill>
                  <w14:solidFill>
                    <w14:schemeClr w14:val="tx1"/>
                  </w14:solidFill>
                </w14:textFill>
              </w:rPr>
            </w:pPr>
          </w:p>
        </w:tc>
        <w:tc>
          <w:tcPr>
            <w:tcW w:w="2430" w:type="dxa"/>
            <w:vMerge w:val="continue"/>
            <w:shd w:val="clear" w:color="auto" w:fill="auto"/>
            <w:vAlign w:val="center"/>
          </w:tcPr>
          <w:p>
            <w:pPr>
              <w:snapToGrid w:val="0"/>
              <w:jc w:val="center"/>
              <w:rPr>
                <w:rFonts w:ascii="Times New Roman" w:hAnsi="Times New Roman" w:eastAsia="黑体"/>
                <w:b w:val="0"/>
                <w:bCs w:val="0"/>
                <w:color w:val="000000" w:themeColor="text1"/>
                <w:sz w:val="24"/>
                <w:szCs w:val="24"/>
                <w14:textFill>
                  <w14:solidFill>
                    <w14:schemeClr w14:val="tx1"/>
                  </w14:solidFill>
                </w14:textFill>
              </w:rPr>
            </w:pPr>
          </w:p>
        </w:tc>
        <w:tc>
          <w:tcPr>
            <w:tcW w:w="3825" w:type="dxa"/>
            <w:vMerge w:val="continue"/>
            <w:shd w:val="clear" w:color="auto" w:fill="auto"/>
            <w:vAlign w:val="center"/>
          </w:tcPr>
          <w:p>
            <w:pPr>
              <w:snapToGrid w:val="0"/>
              <w:jc w:val="center"/>
              <w:rPr>
                <w:rFonts w:ascii="Times New Roman" w:hAnsi="Times New Roman" w:eastAsia="黑体"/>
                <w:b w:val="0"/>
                <w:bCs w:val="0"/>
                <w:color w:val="000000" w:themeColor="text1"/>
                <w:sz w:val="24"/>
                <w:szCs w:val="24"/>
                <w14:textFill>
                  <w14:solidFill>
                    <w14:schemeClr w14:val="tx1"/>
                  </w14:solidFill>
                </w14:textFill>
              </w:rPr>
            </w:pPr>
          </w:p>
        </w:tc>
        <w:tc>
          <w:tcPr>
            <w:tcW w:w="1995" w:type="dxa"/>
            <w:shd w:val="clear" w:color="auto" w:fill="auto"/>
            <w:vAlign w:val="center"/>
          </w:tcPr>
          <w:p>
            <w:pPr>
              <w:snapToGrid w:val="0"/>
              <w:jc w:val="center"/>
              <w:rPr>
                <w:rFonts w:ascii="Times New Roman" w:hAnsi="Times New Roman" w:eastAsia="黑体"/>
                <w:b w:val="0"/>
                <w:bCs w:val="0"/>
                <w:color w:val="000000" w:themeColor="text1"/>
                <w:sz w:val="24"/>
                <w:szCs w:val="24"/>
                <w14:textFill>
                  <w14:solidFill>
                    <w14:schemeClr w14:val="tx1"/>
                  </w14:solidFill>
                </w14:textFill>
              </w:rPr>
            </w:pPr>
            <w:r>
              <w:rPr>
                <w:rFonts w:hint="default" w:ascii="Times New Roman" w:hAnsi="Times New Roman" w:eastAsia="黑体"/>
                <w:b w:val="0"/>
                <w:bCs w:val="0"/>
                <w:color w:val="000000" w:themeColor="text1"/>
                <w:sz w:val="24"/>
                <w:szCs w:val="24"/>
                <w14:textFill>
                  <w14:solidFill>
                    <w14:schemeClr w14:val="tx1"/>
                  </w14:solidFill>
                </w14:textFill>
              </w:rPr>
              <w:t>整体</w:t>
            </w:r>
          </w:p>
        </w:tc>
        <w:tc>
          <w:tcPr>
            <w:tcW w:w="1192" w:type="dxa"/>
            <w:shd w:val="clear" w:color="auto" w:fill="auto"/>
            <w:vAlign w:val="center"/>
          </w:tcPr>
          <w:p>
            <w:pPr>
              <w:snapToGrid w:val="0"/>
              <w:jc w:val="center"/>
              <w:rPr>
                <w:rFonts w:ascii="Times New Roman" w:hAnsi="Times New Roman" w:eastAsia="黑体"/>
                <w:b w:val="0"/>
                <w:bCs w:val="0"/>
                <w:color w:val="000000" w:themeColor="text1"/>
                <w:sz w:val="24"/>
                <w:szCs w:val="24"/>
                <w14:textFill>
                  <w14:solidFill>
                    <w14:schemeClr w14:val="tx1"/>
                  </w14:solidFill>
                </w14:textFill>
              </w:rPr>
            </w:pPr>
            <w:r>
              <w:rPr>
                <w:rFonts w:hint="default" w:ascii="Times New Roman" w:hAnsi="Times New Roman" w:eastAsia="黑体"/>
                <w:b w:val="0"/>
                <w:bCs w:val="0"/>
                <w:color w:val="000000" w:themeColor="text1"/>
                <w:sz w:val="24"/>
                <w:szCs w:val="24"/>
                <w14:textFill>
                  <w14:solidFill>
                    <w14:schemeClr w14:val="tx1"/>
                  </w14:solidFill>
                </w14:textFill>
              </w:rPr>
              <w:t>市级</w:t>
            </w:r>
          </w:p>
          <w:p>
            <w:pPr>
              <w:snapToGrid w:val="0"/>
              <w:jc w:val="center"/>
              <w:rPr>
                <w:rFonts w:ascii="Times New Roman" w:hAnsi="Times New Roman" w:eastAsia="黑体"/>
                <w:b w:val="0"/>
                <w:bCs w:val="0"/>
                <w:color w:val="000000" w:themeColor="text1"/>
                <w:sz w:val="24"/>
                <w:szCs w:val="24"/>
                <w14:textFill>
                  <w14:solidFill>
                    <w14:schemeClr w14:val="tx1"/>
                  </w14:solidFill>
                </w14:textFill>
              </w:rPr>
            </w:pPr>
            <w:r>
              <w:rPr>
                <w:rFonts w:hint="default" w:ascii="Times New Roman" w:hAnsi="Times New Roman" w:eastAsia="黑体"/>
                <w:b w:val="0"/>
                <w:bCs w:val="0"/>
                <w:color w:val="000000" w:themeColor="text1"/>
                <w:sz w:val="24"/>
                <w:szCs w:val="24"/>
                <w14:textFill>
                  <w14:solidFill>
                    <w14:schemeClr w14:val="tx1"/>
                  </w14:solidFill>
                </w14:textFill>
              </w:rPr>
              <w:t>任务</w:t>
            </w:r>
          </w:p>
        </w:tc>
        <w:tc>
          <w:tcPr>
            <w:tcW w:w="1124" w:type="dxa"/>
            <w:shd w:val="clear" w:color="auto" w:fill="auto"/>
            <w:vAlign w:val="center"/>
          </w:tcPr>
          <w:p>
            <w:pPr>
              <w:snapToGrid w:val="0"/>
              <w:jc w:val="center"/>
              <w:rPr>
                <w:rFonts w:ascii="Times New Roman" w:hAnsi="Times New Roman" w:eastAsia="黑体"/>
                <w:b w:val="0"/>
                <w:bCs w:val="0"/>
                <w:color w:val="000000" w:themeColor="text1"/>
                <w:sz w:val="24"/>
                <w:szCs w:val="24"/>
                <w14:textFill>
                  <w14:solidFill>
                    <w14:schemeClr w14:val="tx1"/>
                  </w14:solidFill>
                </w14:textFill>
              </w:rPr>
            </w:pPr>
            <w:r>
              <w:rPr>
                <w:rFonts w:hint="default" w:ascii="Times New Roman" w:hAnsi="Times New Roman" w:eastAsia="黑体"/>
                <w:b w:val="0"/>
                <w:bCs w:val="0"/>
                <w:color w:val="000000" w:themeColor="text1"/>
                <w:sz w:val="24"/>
                <w:szCs w:val="24"/>
                <w14:textFill>
                  <w14:solidFill>
                    <w14:schemeClr w14:val="tx1"/>
                  </w14:solidFill>
                </w14:textFill>
              </w:rPr>
              <w:t>区级</w:t>
            </w:r>
          </w:p>
          <w:p>
            <w:pPr>
              <w:snapToGrid w:val="0"/>
              <w:jc w:val="center"/>
              <w:rPr>
                <w:rFonts w:ascii="Times New Roman" w:hAnsi="Times New Roman" w:eastAsia="黑体"/>
                <w:b w:val="0"/>
                <w:bCs w:val="0"/>
                <w:color w:val="000000" w:themeColor="text1"/>
                <w:sz w:val="24"/>
                <w:szCs w:val="24"/>
                <w14:textFill>
                  <w14:solidFill>
                    <w14:schemeClr w14:val="tx1"/>
                  </w14:solidFill>
                </w14:textFill>
              </w:rPr>
            </w:pPr>
            <w:r>
              <w:rPr>
                <w:rFonts w:hint="default" w:ascii="Times New Roman" w:hAnsi="Times New Roman" w:eastAsia="黑体"/>
                <w:b w:val="0"/>
                <w:bCs w:val="0"/>
                <w:color w:val="000000" w:themeColor="text1"/>
                <w:sz w:val="24"/>
                <w:szCs w:val="24"/>
                <w14:textFill>
                  <w14:solidFill>
                    <w14:schemeClr w14:val="tx1"/>
                  </w14:solidFill>
                </w14:textFill>
              </w:rPr>
              <w:t>任务</w:t>
            </w:r>
          </w:p>
        </w:tc>
        <w:tc>
          <w:tcPr>
            <w:tcW w:w="2409" w:type="dxa"/>
            <w:vMerge w:val="continue"/>
            <w:shd w:val="clear" w:color="auto" w:fill="auto"/>
            <w:vAlign w:val="center"/>
          </w:tcPr>
          <w:p>
            <w:pPr>
              <w:snapToGrid w:val="0"/>
              <w:jc w:val="center"/>
              <w:rPr>
                <w:rFonts w:ascii="Times New Roman" w:hAnsi="Times New Roman" w:eastAsia="楷体_GB2312"/>
                <w:b w:val="0"/>
                <w:bCs w:val="0"/>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08"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楷体_GB2312"/>
                <w:b w:val="0"/>
                <w:bCs w:val="0"/>
                <w:color w:val="000000" w:themeColor="text1"/>
                <w:sz w:val="24"/>
                <w:szCs w:val="24"/>
                <w14:textFill>
                  <w14:solidFill>
                    <w14:schemeClr w14:val="tx1"/>
                  </w14:solidFill>
                </w14:textFill>
              </w:rPr>
            </w:pPr>
            <w:r>
              <w:rPr>
                <w:rFonts w:hint="default" w:ascii="Times New Roman" w:hAnsi="Times New Roman" w:eastAsia="楷体_GB2312"/>
                <w:b w:val="0"/>
                <w:bCs w:val="0"/>
                <w:color w:val="000000" w:themeColor="text1"/>
                <w:sz w:val="24"/>
                <w:szCs w:val="24"/>
                <w14:textFill>
                  <w14:solidFill>
                    <w14:schemeClr w14:val="tx1"/>
                  </w14:solidFill>
                </w14:textFill>
              </w:rPr>
              <w:t>公共场所抽查计划</w:t>
            </w:r>
          </w:p>
        </w:tc>
        <w:tc>
          <w:tcPr>
            <w:tcW w:w="24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游泳场所检查</w:t>
            </w:r>
          </w:p>
        </w:tc>
        <w:tc>
          <w:tcPr>
            <w:tcW w:w="38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游泳场所</w:t>
            </w:r>
          </w:p>
        </w:tc>
        <w:tc>
          <w:tcPr>
            <w:tcW w:w="19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国家随机监督抽查任务之外的全部游泳场所</w:t>
            </w:r>
          </w:p>
        </w:tc>
        <w:tc>
          <w:tcPr>
            <w:tcW w:w="119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楷体_GB2312"/>
                <w:b w:val="0"/>
                <w:bCs w:val="0"/>
                <w:color w:val="000000" w:themeColor="text1"/>
                <w:sz w:val="24"/>
                <w:szCs w:val="24"/>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48户（每区3户）</w:t>
            </w:r>
          </w:p>
        </w:tc>
        <w:tc>
          <w:tcPr>
            <w:tcW w:w="112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楷体_GB2312"/>
                <w:b w:val="0"/>
                <w:bCs w:val="0"/>
                <w:color w:val="000000" w:themeColor="text1"/>
                <w:sz w:val="24"/>
                <w:szCs w:val="24"/>
                <w14:textFill>
                  <w14:solidFill>
                    <w14:schemeClr w14:val="tx1"/>
                  </w14:solidFill>
                </w14:textFill>
              </w:rPr>
            </w:pPr>
            <w:r>
              <w:rPr>
                <w:rFonts w:hint="default" w:ascii="Times New Roman" w:hAnsi="Times New Roman" w:eastAsia="楷体_GB2312"/>
                <w:b w:val="0"/>
                <w:bCs w:val="0"/>
                <w:color w:val="000000" w:themeColor="text1"/>
                <w:sz w:val="24"/>
                <w:szCs w:val="24"/>
                <w14:textFill>
                  <w14:solidFill>
                    <w14:schemeClr w14:val="tx1"/>
                  </w14:solidFill>
                </w14:textFill>
              </w:rPr>
              <w:t>剩余</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楷体_GB2312"/>
                <w:b w:val="0"/>
                <w:bCs w:val="0"/>
                <w:color w:val="000000" w:themeColor="text1"/>
                <w:sz w:val="24"/>
                <w:szCs w:val="24"/>
                <w14:textFill>
                  <w14:solidFill>
                    <w14:schemeClr w14:val="tx1"/>
                  </w14:solidFill>
                </w14:textFill>
              </w:rPr>
            </w:pPr>
            <w:r>
              <w:rPr>
                <w:rFonts w:hint="default" w:ascii="Times New Roman" w:hAnsi="Times New Roman" w:eastAsia="楷体_GB2312"/>
                <w:b w:val="0"/>
                <w:bCs w:val="0"/>
                <w:color w:val="000000" w:themeColor="text1"/>
                <w:sz w:val="24"/>
                <w:szCs w:val="24"/>
                <w14:textFill>
                  <w14:solidFill>
                    <w14:schemeClr w14:val="tx1"/>
                  </w14:solidFill>
                </w14:textFill>
              </w:rPr>
              <w:t>任务</w:t>
            </w:r>
          </w:p>
        </w:tc>
        <w:tc>
          <w:tcPr>
            <w:tcW w:w="240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楷体_GB2312"/>
                <w:b w:val="0"/>
                <w:bCs w:val="0"/>
                <w:color w:val="000000" w:themeColor="text1"/>
                <w:sz w:val="24"/>
                <w:szCs w:val="24"/>
                <w14:textFill>
                  <w14:solidFill>
                    <w14:schemeClr w14:val="tx1"/>
                  </w14:solidFill>
                </w14:textFill>
              </w:rPr>
            </w:pPr>
            <w:r>
              <w:rPr>
                <w:rFonts w:hint="default" w:ascii="Times New Roman" w:hAnsi="Times New Roman" w:eastAsia="楷体_GB2312"/>
                <w:b w:val="0"/>
                <w:bCs w:val="0"/>
                <w:color w:val="000000" w:themeColor="text1"/>
                <w:sz w:val="24"/>
                <w:szCs w:val="24"/>
                <w14:textFill>
                  <w14:solidFill>
                    <w14:schemeClr w14:val="tx1"/>
                  </w14:solidFill>
                </w14:textFill>
              </w:rPr>
              <w:t>国家随机监督抽查任务名单以外，优先抽取量化分级C级和不予评级单位及2020年行政处罚过的被监督单位。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p>
        </w:tc>
        <w:tc>
          <w:tcPr>
            <w:tcW w:w="24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住宿场所检查</w:t>
            </w:r>
          </w:p>
        </w:tc>
        <w:tc>
          <w:tcPr>
            <w:tcW w:w="38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住宿场所</w:t>
            </w:r>
          </w:p>
        </w:tc>
        <w:tc>
          <w:tcPr>
            <w:tcW w:w="19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5%</w:t>
            </w:r>
          </w:p>
        </w:tc>
        <w:tc>
          <w:tcPr>
            <w:tcW w:w="119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p>
        </w:tc>
        <w:tc>
          <w:tcPr>
            <w:tcW w:w="112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p>
        </w:tc>
        <w:tc>
          <w:tcPr>
            <w:tcW w:w="24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30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p>
        </w:tc>
        <w:tc>
          <w:tcPr>
            <w:tcW w:w="24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沐浴场所检查</w:t>
            </w:r>
          </w:p>
        </w:tc>
        <w:tc>
          <w:tcPr>
            <w:tcW w:w="38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沐浴场所</w:t>
            </w:r>
          </w:p>
        </w:tc>
        <w:tc>
          <w:tcPr>
            <w:tcW w:w="19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14%</w:t>
            </w:r>
          </w:p>
        </w:tc>
        <w:tc>
          <w:tcPr>
            <w:tcW w:w="119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p>
        </w:tc>
        <w:tc>
          <w:tcPr>
            <w:tcW w:w="112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p>
        </w:tc>
        <w:tc>
          <w:tcPr>
            <w:tcW w:w="24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0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p>
        </w:tc>
        <w:tc>
          <w:tcPr>
            <w:tcW w:w="24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美容美发场所检查</w:t>
            </w:r>
          </w:p>
        </w:tc>
        <w:tc>
          <w:tcPr>
            <w:tcW w:w="38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美容美发场所</w:t>
            </w:r>
          </w:p>
        </w:tc>
        <w:tc>
          <w:tcPr>
            <w:tcW w:w="19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4%</w:t>
            </w:r>
          </w:p>
        </w:tc>
        <w:tc>
          <w:tcPr>
            <w:tcW w:w="119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p>
        </w:tc>
        <w:tc>
          <w:tcPr>
            <w:tcW w:w="112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p>
        </w:tc>
        <w:tc>
          <w:tcPr>
            <w:tcW w:w="24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30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p>
        </w:tc>
        <w:tc>
          <w:tcPr>
            <w:tcW w:w="243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其他类公共场所检查</w:t>
            </w:r>
          </w:p>
        </w:tc>
        <w:tc>
          <w:tcPr>
            <w:tcW w:w="38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影剧院</w:t>
            </w:r>
          </w:p>
        </w:tc>
        <w:tc>
          <w:tcPr>
            <w:tcW w:w="19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20%</w:t>
            </w:r>
          </w:p>
        </w:tc>
        <w:tc>
          <w:tcPr>
            <w:tcW w:w="119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p>
        </w:tc>
        <w:tc>
          <w:tcPr>
            <w:tcW w:w="112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p>
        </w:tc>
        <w:tc>
          <w:tcPr>
            <w:tcW w:w="24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30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p>
        </w:tc>
        <w:tc>
          <w:tcPr>
            <w:tcW w:w="243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p>
        </w:tc>
        <w:tc>
          <w:tcPr>
            <w:tcW w:w="38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商场(店)</w:t>
            </w:r>
          </w:p>
        </w:tc>
        <w:tc>
          <w:tcPr>
            <w:tcW w:w="19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20%</w:t>
            </w:r>
          </w:p>
        </w:tc>
        <w:tc>
          <w:tcPr>
            <w:tcW w:w="119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p>
        </w:tc>
        <w:tc>
          <w:tcPr>
            <w:tcW w:w="112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p>
        </w:tc>
        <w:tc>
          <w:tcPr>
            <w:tcW w:w="24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30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p>
        </w:tc>
        <w:tc>
          <w:tcPr>
            <w:tcW w:w="243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p>
        </w:tc>
        <w:tc>
          <w:tcPr>
            <w:tcW w:w="38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录像厅(室)、游艺厅(室)、舞厅、音乐厅、体育场(馆)、展览馆、博物馆、美术馆、图书馆，书店、候诊室、候车(机、船)室与公共交通工具等公共场所</w:t>
            </w:r>
          </w:p>
        </w:tc>
        <w:tc>
          <w:tcPr>
            <w:tcW w:w="19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20%</w:t>
            </w:r>
          </w:p>
        </w:tc>
        <w:tc>
          <w:tcPr>
            <w:tcW w:w="119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p>
        </w:tc>
        <w:tc>
          <w:tcPr>
            <w:tcW w:w="112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p>
        </w:tc>
        <w:tc>
          <w:tcPr>
            <w:tcW w:w="24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1308"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对饮用水供水单位从事生产或者供应活动以及涉及饮用水卫生安全的产品的检查</w:t>
            </w:r>
          </w:p>
        </w:tc>
        <w:tc>
          <w:tcPr>
            <w:tcW w:w="24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二次供水单位检查</w:t>
            </w:r>
          </w:p>
        </w:tc>
        <w:tc>
          <w:tcPr>
            <w:tcW w:w="38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二次供水单位</w:t>
            </w:r>
          </w:p>
        </w:tc>
        <w:tc>
          <w:tcPr>
            <w:tcW w:w="19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50%</w:t>
            </w:r>
          </w:p>
        </w:tc>
        <w:tc>
          <w:tcPr>
            <w:tcW w:w="119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另行抽取不少于1%的居民小区二次供水单位</w:t>
            </w:r>
          </w:p>
        </w:tc>
        <w:tc>
          <w:tcPr>
            <w:tcW w:w="112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辖区内的二次供水单位、输配水设备、化学处理剂、防护材料生产单位抽查比例为本底数的50%</w:t>
            </w:r>
          </w:p>
        </w:tc>
        <w:tc>
          <w:tcPr>
            <w:tcW w:w="240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二次供水单位：不抽取在学校内的单位，上一年度被处罚的单位100%抽取，其余单位随机抽取，补齐至本底总数的50%；</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涉及饮用水卫生安全产品生产单位：国家抽查已抽取的单位不重复抽取，上一年度被处罚的单位100%抽取，其余单位随机抽取，补齐至本底总数的50%。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30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p>
        </w:tc>
        <w:tc>
          <w:tcPr>
            <w:tcW w:w="24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涉及饮用水卫生安全产品生产单位检查</w:t>
            </w:r>
          </w:p>
        </w:tc>
        <w:tc>
          <w:tcPr>
            <w:tcW w:w="38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输配水设备、化学处理剂、</w:t>
            </w:r>
            <w:r>
              <w:rPr>
                <w:rFonts w:hint="default" w:ascii="Times New Roman" w:eastAsia="楷体_GB2312"/>
                <w:b w:val="0"/>
                <w:bCs w:val="0"/>
                <w:color w:val="000000" w:themeColor="text1"/>
                <w:sz w:val="24"/>
                <w:szCs w:val="20"/>
                <w14:textFill>
                  <w14:solidFill>
                    <w14:schemeClr w14:val="tx1"/>
                  </w14:solidFill>
                </w14:textFill>
              </w:rPr>
              <w:br w:type="textWrapping"/>
            </w:r>
            <w:r>
              <w:rPr>
                <w:rFonts w:hint="default" w:ascii="Times New Roman" w:eastAsia="楷体_GB2312"/>
                <w:b w:val="0"/>
                <w:bCs w:val="0"/>
                <w:color w:val="000000" w:themeColor="text1"/>
                <w:sz w:val="24"/>
                <w:szCs w:val="20"/>
                <w14:textFill>
                  <w14:solidFill>
                    <w14:schemeClr w14:val="tx1"/>
                  </w14:solidFill>
                </w14:textFill>
              </w:rPr>
              <w:t>防护材料生产单位</w:t>
            </w:r>
          </w:p>
        </w:tc>
        <w:tc>
          <w:tcPr>
            <w:tcW w:w="19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50%</w:t>
            </w:r>
          </w:p>
        </w:tc>
        <w:tc>
          <w:tcPr>
            <w:tcW w:w="119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ascii="Times New Roman" w:eastAsia="楷体_GB2312"/>
                <w:b w:val="0"/>
                <w:bCs w:val="0"/>
                <w:color w:val="000000" w:themeColor="text1"/>
                <w:sz w:val="24"/>
                <w:szCs w:val="20"/>
                <w14:textFill>
                  <w14:solidFill>
                    <w14:schemeClr w14:val="tx1"/>
                  </w14:solidFill>
                </w14:textFill>
              </w:rPr>
              <w:t>——</w:t>
            </w:r>
          </w:p>
        </w:tc>
        <w:tc>
          <w:tcPr>
            <w:tcW w:w="112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p>
        </w:tc>
        <w:tc>
          <w:tcPr>
            <w:tcW w:w="24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308"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消毒产品抽查计划</w:t>
            </w:r>
          </w:p>
        </w:tc>
        <w:tc>
          <w:tcPr>
            <w:tcW w:w="24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消毒产品</w:t>
            </w:r>
            <w:r>
              <w:rPr>
                <w:rFonts w:hint="default" w:ascii="Times New Roman" w:eastAsia="楷体_GB2312"/>
                <w:b w:val="0"/>
                <w:bCs w:val="0"/>
                <w:color w:val="000000" w:themeColor="text1"/>
                <w:sz w:val="24"/>
                <w:szCs w:val="20"/>
                <w14:textFill>
                  <w14:solidFill>
                    <w14:schemeClr w14:val="tx1"/>
                  </w14:solidFill>
                </w14:textFill>
              </w:rPr>
              <w:br w:type="textWrapping"/>
            </w:r>
            <w:r>
              <w:rPr>
                <w:rFonts w:hint="default" w:ascii="Times New Roman" w:eastAsia="楷体_GB2312"/>
                <w:b w:val="0"/>
                <w:bCs w:val="0"/>
                <w:color w:val="000000" w:themeColor="text1"/>
                <w:sz w:val="24"/>
                <w:szCs w:val="20"/>
                <w14:textFill>
                  <w14:solidFill>
                    <w14:schemeClr w14:val="tx1"/>
                  </w14:solidFill>
                </w14:textFill>
              </w:rPr>
              <w:t>生产企业检查</w:t>
            </w:r>
          </w:p>
        </w:tc>
        <w:tc>
          <w:tcPr>
            <w:tcW w:w="38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消毒产品生产企业</w:t>
            </w:r>
          </w:p>
        </w:tc>
        <w:tc>
          <w:tcPr>
            <w:tcW w:w="19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20%</w:t>
            </w:r>
          </w:p>
        </w:tc>
        <w:tc>
          <w:tcPr>
            <w:tcW w:w="119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6%</w:t>
            </w:r>
          </w:p>
        </w:tc>
        <w:tc>
          <w:tcPr>
            <w:tcW w:w="11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14%</w:t>
            </w:r>
          </w:p>
        </w:tc>
        <w:tc>
          <w:tcPr>
            <w:tcW w:w="240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国家随机监督抽查任务名单以外，优先抽取生产次氯酸水、酸化水、电解水类的企业，再优先抽取2020年行政处罚过的被监督单位。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30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p>
        </w:tc>
        <w:tc>
          <w:tcPr>
            <w:tcW w:w="24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消毒产品</w:t>
            </w:r>
            <w:r>
              <w:rPr>
                <w:rFonts w:hint="default" w:ascii="Times New Roman" w:eastAsia="楷体_GB2312"/>
                <w:b w:val="0"/>
                <w:bCs w:val="0"/>
                <w:color w:val="000000" w:themeColor="text1"/>
                <w:sz w:val="24"/>
                <w:szCs w:val="20"/>
                <w14:textFill>
                  <w14:solidFill>
                    <w14:schemeClr w14:val="tx1"/>
                  </w14:solidFill>
                </w14:textFill>
              </w:rPr>
              <w:br w:type="textWrapping"/>
            </w:r>
            <w:r>
              <w:rPr>
                <w:rFonts w:hint="default" w:ascii="Times New Roman" w:eastAsia="楷体_GB2312"/>
                <w:b w:val="0"/>
                <w:bCs w:val="0"/>
                <w:color w:val="000000" w:themeColor="text1"/>
                <w:sz w:val="24"/>
                <w:szCs w:val="20"/>
                <w14:textFill>
                  <w14:solidFill>
                    <w14:schemeClr w14:val="tx1"/>
                  </w14:solidFill>
                </w14:textFill>
              </w:rPr>
              <w:t>经营单位检查</w:t>
            </w:r>
          </w:p>
        </w:tc>
        <w:tc>
          <w:tcPr>
            <w:tcW w:w="38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消毒产品经营单位</w:t>
            </w:r>
          </w:p>
        </w:tc>
        <w:tc>
          <w:tcPr>
            <w:tcW w:w="19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20%</w:t>
            </w:r>
          </w:p>
        </w:tc>
        <w:tc>
          <w:tcPr>
            <w:tcW w:w="119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0.2%</w:t>
            </w:r>
          </w:p>
        </w:tc>
        <w:tc>
          <w:tcPr>
            <w:tcW w:w="11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19.8%</w:t>
            </w:r>
          </w:p>
        </w:tc>
        <w:tc>
          <w:tcPr>
            <w:tcW w:w="24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30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p>
        </w:tc>
        <w:tc>
          <w:tcPr>
            <w:tcW w:w="24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消毒产品</w:t>
            </w:r>
            <w:r>
              <w:rPr>
                <w:rFonts w:hint="default" w:ascii="Times New Roman" w:eastAsia="楷体_GB2312"/>
                <w:b w:val="0"/>
                <w:bCs w:val="0"/>
                <w:color w:val="000000" w:themeColor="text1"/>
                <w:sz w:val="24"/>
                <w:szCs w:val="20"/>
                <w14:textFill>
                  <w14:solidFill>
                    <w14:schemeClr w14:val="tx1"/>
                  </w14:solidFill>
                </w14:textFill>
              </w:rPr>
              <w:br w:type="textWrapping"/>
            </w:r>
            <w:r>
              <w:rPr>
                <w:rFonts w:hint="default" w:ascii="Times New Roman" w:eastAsia="楷体_GB2312"/>
                <w:b w:val="0"/>
                <w:bCs w:val="0"/>
                <w:color w:val="000000" w:themeColor="text1"/>
                <w:sz w:val="24"/>
                <w:szCs w:val="20"/>
                <w14:textFill>
                  <w14:solidFill>
                    <w14:schemeClr w14:val="tx1"/>
                  </w14:solidFill>
                </w14:textFill>
              </w:rPr>
              <w:t>在华责任单位检查</w:t>
            </w:r>
          </w:p>
        </w:tc>
        <w:tc>
          <w:tcPr>
            <w:tcW w:w="38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消毒产品在华责任单位</w:t>
            </w:r>
          </w:p>
        </w:tc>
        <w:tc>
          <w:tcPr>
            <w:tcW w:w="19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100%</w:t>
            </w:r>
          </w:p>
        </w:tc>
        <w:tc>
          <w:tcPr>
            <w:tcW w:w="119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w:t>
            </w:r>
          </w:p>
        </w:tc>
        <w:tc>
          <w:tcPr>
            <w:tcW w:w="11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100%</w:t>
            </w:r>
          </w:p>
        </w:tc>
        <w:tc>
          <w:tcPr>
            <w:tcW w:w="24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1308"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医疗执业抽查计划</w:t>
            </w:r>
          </w:p>
        </w:tc>
        <w:tc>
          <w:tcPr>
            <w:tcW w:w="243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医疗执业检查</w:t>
            </w:r>
          </w:p>
        </w:tc>
        <w:tc>
          <w:tcPr>
            <w:tcW w:w="38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医院</w:t>
            </w:r>
          </w:p>
        </w:tc>
        <w:tc>
          <w:tcPr>
            <w:tcW w:w="19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ascii="Times New Roman" w:eastAsia="楷体_GB2312"/>
                <w:b w:val="0"/>
                <w:bCs w:val="0"/>
                <w:color w:val="000000" w:themeColor="text1"/>
                <w:sz w:val="24"/>
                <w:szCs w:val="20"/>
                <w:lang w:val="en"/>
                <w14:textFill>
                  <w14:solidFill>
                    <w14:schemeClr w14:val="tx1"/>
                  </w14:solidFill>
                </w14:textFill>
              </w:rPr>
              <w:t>8</w:t>
            </w:r>
            <w:r>
              <w:rPr>
                <w:rFonts w:hint="default" w:ascii="Times New Roman" w:eastAsia="楷体_GB2312"/>
                <w:b w:val="0"/>
                <w:bCs w:val="0"/>
                <w:color w:val="000000" w:themeColor="text1"/>
                <w:sz w:val="24"/>
                <w:szCs w:val="20"/>
                <w14:textFill>
                  <w14:solidFill>
                    <w14:schemeClr w14:val="tx1"/>
                  </w14:solidFill>
                </w14:textFill>
              </w:rPr>
              <w:t>3%</w:t>
            </w:r>
          </w:p>
        </w:tc>
        <w:tc>
          <w:tcPr>
            <w:tcW w:w="119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ascii="Times New Roman" w:eastAsia="楷体_GB2312"/>
                <w:b w:val="0"/>
                <w:bCs w:val="0"/>
                <w:color w:val="000000" w:themeColor="text1"/>
                <w:sz w:val="24"/>
                <w:szCs w:val="20"/>
                <w:lang w:val="en"/>
                <w14:textFill>
                  <w14:solidFill>
                    <w14:schemeClr w14:val="tx1"/>
                  </w14:solidFill>
                </w14:textFill>
              </w:rPr>
              <w:t>10%</w:t>
            </w:r>
            <w:r>
              <w:rPr>
                <w:rFonts w:hint="default" w:ascii="Times New Roman" w:eastAsia="楷体_GB2312"/>
                <w:b w:val="0"/>
                <w:bCs w:val="0"/>
                <w:color w:val="000000" w:themeColor="text1"/>
                <w:sz w:val="24"/>
                <w:szCs w:val="20"/>
                <w:lang w:val="en"/>
                <w14:textFill>
                  <w14:solidFill>
                    <w14:schemeClr w14:val="tx1"/>
                  </w14:solidFill>
                </w14:textFill>
              </w:rPr>
              <w:t>二级以上营利性医院</w:t>
            </w:r>
          </w:p>
        </w:tc>
        <w:tc>
          <w:tcPr>
            <w:tcW w:w="11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剩余</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任务</w:t>
            </w:r>
          </w:p>
        </w:tc>
        <w:tc>
          <w:tcPr>
            <w:tcW w:w="240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国家随机监督抽查任务名单以外，优先抽取2020年行政处罚过的被监督单位。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30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p>
        </w:tc>
        <w:tc>
          <w:tcPr>
            <w:tcW w:w="243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p>
        </w:tc>
        <w:tc>
          <w:tcPr>
            <w:tcW w:w="38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社区卫生服务机构、卫生院</w:t>
            </w:r>
          </w:p>
        </w:tc>
        <w:tc>
          <w:tcPr>
            <w:tcW w:w="19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90%</w:t>
            </w:r>
          </w:p>
        </w:tc>
        <w:tc>
          <w:tcPr>
            <w:tcW w:w="119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w:t>
            </w:r>
          </w:p>
        </w:tc>
        <w:tc>
          <w:tcPr>
            <w:tcW w:w="11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90%</w:t>
            </w:r>
          </w:p>
        </w:tc>
        <w:tc>
          <w:tcPr>
            <w:tcW w:w="24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30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p>
        </w:tc>
        <w:tc>
          <w:tcPr>
            <w:tcW w:w="243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p>
        </w:tc>
        <w:tc>
          <w:tcPr>
            <w:tcW w:w="38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门诊部</w:t>
            </w:r>
          </w:p>
        </w:tc>
        <w:tc>
          <w:tcPr>
            <w:tcW w:w="19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85%</w:t>
            </w:r>
          </w:p>
        </w:tc>
        <w:tc>
          <w:tcPr>
            <w:tcW w:w="119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lang w:val="en"/>
                <w14:textFill>
                  <w14:solidFill>
                    <w14:schemeClr w14:val="tx1"/>
                  </w14:solidFill>
                </w14:textFill>
              </w:rPr>
            </w:pPr>
            <w:r>
              <w:rPr>
                <w:rFonts w:ascii="Times New Roman" w:eastAsia="楷体_GB2312"/>
                <w:b w:val="0"/>
                <w:bCs w:val="0"/>
                <w:color w:val="000000" w:themeColor="text1"/>
                <w:sz w:val="24"/>
                <w:szCs w:val="20"/>
                <w:lang w:val="en"/>
                <w14:textFill>
                  <w14:solidFill>
                    <w14:schemeClr w14:val="tx1"/>
                  </w14:solidFill>
                </w14:textFill>
              </w:rPr>
              <w:t>2%</w:t>
            </w:r>
            <w:r>
              <w:rPr>
                <w:rFonts w:hint="default" w:ascii="Times New Roman" w:eastAsia="楷体_GB2312"/>
                <w:b w:val="0"/>
                <w:bCs w:val="0"/>
                <w:color w:val="000000" w:themeColor="text1"/>
                <w:sz w:val="24"/>
                <w:szCs w:val="20"/>
                <w:lang w:val="en"/>
                <w14:textFill>
                  <w14:solidFill>
                    <w14:schemeClr w14:val="tx1"/>
                  </w14:solidFill>
                </w14:textFill>
              </w:rPr>
              <w:t>营利性门诊部</w:t>
            </w:r>
          </w:p>
        </w:tc>
        <w:tc>
          <w:tcPr>
            <w:tcW w:w="11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剩余</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任务</w:t>
            </w:r>
          </w:p>
        </w:tc>
        <w:tc>
          <w:tcPr>
            <w:tcW w:w="24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30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p>
        </w:tc>
        <w:tc>
          <w:tcPr>
            <w:tcW w:w="243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p>
        </w:tc>
        <w:tc>
          <w:tcPr>
            <w:tcW w:w="38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诊所（除提供中医药服务诊所外）</w:t>
            </w:r>
          </w:p>
        </w:tc>
        <w:tc>
          <w:tcPr>
            <w:tcW w:w="19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70%</w:t>
            </w:r>
          </w:p>
        </w:tc>
        <w:tc>
          <w:tcPr>
            <w:tcW w:w="119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1%营利性诊所</w:t>
            </w:r>
          </w:p>
        </w:tc>
        <w:tc>
          <w:tcPr>
            <w:tcW w:w="11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剩余</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任务</w:t>
            </w:r>
          </w:p>
        </w:tc>
        <w:tc>
          <w:tcPr>
            <w:tcW w:w="24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30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p>
        </w:tc>
        <w:tc>
          <w:tcPr>
            <w:tcW w:w="243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p>
        </w:tc>
        <w:tc>
          <w:tcPr>
            <w:tcW w:w="38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村卫生室及其他类医疗机构</w:t>
            </w:r>
          </w:p>
        </w:tc>
        <w:tc>
          <w:tcPr>
            <w:tcW w:w="19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85%</w:t>
            </w:r>
          </w:p>
        </w:tc>
        <w:tc>
          <w:tcPr>
            <w:tcW w:w="119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w:t>
            </w:r>
          </w:p>
        </w:tc>
        <w:tc>
          <w:tcPr>
            <w:tcW w:w="11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85%</w:t>
            </w:r>
          </w:p>
        </w:tc>
        <w:tc>
          <w:tcPr>
            <w:tcW w:w="24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30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中医药服务抽查计划</w:t>
            </w:r>
          </w:p>
        </w:tc>
        <w:tc>
          <w:tcPr>
            <w:tcW w:w="24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中医药服务检查</w:t>
            </w:r>
          </w:p>
        </w:tc>
        <w:tc>
          <w:tcPr>
            <w:tcW w:w="38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正常开展中医药服务的</w:t>
            </w:r>
            <w:r>
              <w:rPr>
                <w:rFonts w:hint="default" w:ascii="Times New Roman" w:eastAsia="楷体_GB2312"/>
                <w:b w:val="0"/>
                <w:bCs w:val="0"/>
                <w:color w:val="000000" w:themeColor="text1"/>
                <w:sz w:val="24"/>
                <w:szCs w:val="20"/>
                <w14:textFill>
                  <w14:solidFill>
                    <w14:schemeClr w14:val="tx1"/>
                  </w14:solidFill>
                </w14:textFill>
              </w:rPr>
              <w:br w:type="textWrapping"/>
            </w:r>
            <w:r>
              <w:rPr>
                <w:rFonts w:hint="default" w:ascii="Times New Roman" w:eastAsia="楷体_GB2312"/>
                <w:b w:val="0"/>
                <w:bCs w:val="0"/>
                <w:color w:val="000000" w:themeColor="text1"/>
                <w:sz w:val="24"/>
                <w:szCs w:val="20"/>
                <w14:textFill>
                  <w14:solidFill>
                    <w14:schemeClr w14:val="tx1"/>
                  </w14:solidFill>
                </w14:textFill>
              </w:rPr>
              <w:t>医疗卫生机构</w:t>
            </w:r>
          </w:p>
        </w:tc>
        <w:tc>
          <w:tcPr>
            <w:tcW w:w="19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50%</w:t>
            </w:r>
          </w:p>
        </w:tc>
        <w:tc>
          <w:tcPr>
            <w:tcW w:w="119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1%</w:t>
            </w:r>
          </w:p>
        </w:tc>
        <w:tc>
          <w:tcPr>
            <w:tcW w:w="11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49%</w:t>
            </w:r>
          </w:p>
        </w:tc>
        <w:tc>
          <w:tcPr>
            <w:tcW w:w="240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中医诊所、中医（综合）诊所全部抽取，中医诊所任务全部分派至区级任务中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30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学校卫生抽查计划</w:t>
            </w:r>
          </w:p>
        </w:tc>
        <w:tc>
          <w:tcPr>
            <w:tcW w:w="24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学校卫生检查</w:t>
            </w:r>
          </w:p>
        </w:tc>
        <w:tc>
          <w:tcPr>
            <w:tcW w:w="38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《学校卫生工作条例》中规定的全市各级各类学校。</w:t>
            </w:r>
          </w:p>
        </w:tc>
        <w:tc>
          <w:tcPr>
            <w:tcW w:w="19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25%</w:t>
            </w:r>
          </w:p>
        </w:tc>
        <w:tc>
          <w:tcPr>
            <w:tcW w:w="119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16户（每区1户）</w:t>
            </w:r>
          </w:p>
        </w:tc>
        <w:tc>
          <w:tcPr>
            <w:tcW w:w="11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剩余</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任务</w:t>
            </w:r>
          </w:p>
        </w:tc>
        <w:tc>
          <w:tcPr>
            <w:tcW w:w="240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国家随机监督抽查任务名单以外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30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传染病防治监督抽查计划</w:t>
            </w:r>
          </w:p>
        </w:tc>
        <w:tc>
          <w:tcPr>
            <w:tcW w:w="24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传染病防治检查</w:t>
            </w:r>
          </w:p>
        </w:tc>
        <w:tc>
          <w:tcPr>
            <w:tcW w:w="38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医疗机构</w:t>
            </w:r>
          </w:p>
        </w:tc>
        <w:tc>
          <w:tcPr>
            <w:tcW w:w="19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ascii="Times New Roman" w:eastAsia="楷体_GB2312"/>
                <w:b w:val="0"/>
                <w:bCs w:val="0"/>
                <w:color w:val="000000" w:themeColor="text1"/>
                <w:sz w:val="24"/>
                <w:szCs w:val="20"/>
                <w:lang w:val="en"/>
                <w14:textFill>
                  <w14:solidFill>
                    <w14:schemeClr w14:val="tx1"/>
                  </w14:solidFill>
                </w14:textFill>
              </w:rPr>
              <w:t>2</w:t>
            </w:r>
            <w:r>
              <w:rPr>
                <w:rFonts w:hint="default" w:ascii="Times New Roman" w:eastAsia="楷体_GB2312"/>
                <w:b w:val="0"/>
                <w:bCs w:val="0"/>
                <w:color w:val="000000" w:themeColor="text1"/>
                <w:sz w:val="24"/>
                <w:szCs w:val="20"/>
                <w14:textFill>
                  <w14:solidFill>
                    <w14:schemeClr w14:val="tx1"/>
                  </w14:solidFill>
                </w14:textFill>
              </w:rPr>
              <w:t>0%</w:t>
            </w:r>
          </w:p>
        </w:tc>
        <w:tc>
          <w:tcPr>
            <w:tcW w:w="119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ascii="Times New Roman" w:eastAsia="楷体_GB2312"/>
                <w:b w:val="0"/>
                <w:bCs w:val="0"/>
                <w:color w:val="000000" w:themeColor="text1"/>
                <w:sz w:val="24"/>
                <w:szCs w:val="20"/>
                <w:lang w:val="en"/>
                <w14:textFill>
                  <w14:solidFill>
                    <w14:schemeClr w14:val="tx1"/>
                  </w14:solidFill>
                </w14:textFill>
              </w:rPr>
              <w:t>0.2</w:t>
            </w:r>
            <w:r>
              <w:rPr>
                <w:rFonts w:hint="default" w:ascii="Times New Roman" w:eastAsia="楷体_GB2312"/>
                <w:b w:val="0"/>
                <w:bCs w:val="0"/>
                <w:color w:val="000000" w:themeColor="text1"/>
                <w:sz w:val="24"/>
                <w:szCs w:val="20"/>
                <w14:textFill>
                  <w14:solidFill>
                    <w14:schemeClr w14:val="tx1"/>
                  </w14:solidFill>
                </w14:textFill>
              </w:rPr>
              <w:t>%</w:t>
            </w:r>
          </w:p>
        </w:tc>
        <w:tc>
          <w:tcPr>
            <w:tcW w:w="11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1</w:t>
            </w:r>
            <w:r>
              <w:rPr>
                <w:rFonts w:ascii="Times New Roman" w:eastAsia="楷体_GB2312"/>
                <w:b w:val="0"/>
                <w:bCs w:val="0"/>
                <w:color w:val="000000" w:themeColor="text1"/>
                <w:sz w:val="24"/>
                <w:szCs w:val="20"/>
                <w:lang w:val="en"/>
                <w14:textFill>
                  <w14:solidFill>
                    <w14:schemeClr w14:val="tx1"/>
                  </w14:solidFill>
                </w14:textFill>
              </w:rPr>
              <w:t>9.8</w:t>
            </w:r>
            <w:r>
              <w:rPr>
                <w:rFonts w:hint="default" w:ascii="Times New Roman" w:eastAsia="楷体_GB2312"/>
                <w:b w:val="0"/>
                <w:bCs w:val="0"/>
                <w:color w:val="000000" w:themeColor="text1"/>
                <w:sz w:val="24"/>
                <w:szCs w:val="20"/>
                <w14:textFill>
                  <w14:solidFill>
                    <w14:schemeClr w14:val="tx1"/>
                  </w14:solidFill>
                </w14:textFill>
              </w:rPr>
              <w:t>%</w:t>
            </w:r>
          </w:p>
        </w:tc>
        <w:tc>
          <w:tcPr>
            <w:tcW w:w="240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国家随机监督抽查任务名单以外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308"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职业与放射卫生抽查计划</w:t>
            </w:r>
          </w:p>
        </w:tc>
        <w:tc>
          <w:tcPr>
            <w:tcW w:w="24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放射诊疗机构</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(含中医医疗机构)</w:t>
            </w:r>
            <w:r>
              <w:rPr>
                <w:rFonts w:hint="default" w:ascii="Times New Roman" w:eastAsia="楷体_GB2312"/>
                <w:b w:val="0"/>
                <w:bCs w:val="0"/>
                <w:color w:val="000000" w:themeColor="text1"/>
                <w:sz w:val="24"/>
                <w:szCs w:val="20"/>
                <w14:textFill>
                  <w14:solidFill>
                    <w14:schemeClr w14:val="tx1"/>
                  </w14:solidFill>
                </w14:textFill>
              </w:rPr>
              <w:br w:type="textWrapping"/>
            </w:r>
            <w:r>
              <w:rPr>
                <w:rFonts w:hint="default" w:ascii="Times New Roman" w:eastAsia="楷体_GB2312"/>
                <w:b w:val="0"/>
                <w:bCs w:val="0"/>
                <w:color w:val="000000" w:themeColor="text1"/>
                <w:sz w:val="24"/>
                <w:szCs w:val="20"/>
                <w14:textFill>
                  <w14:solidFill>
                    <w14:schemeClr w14:val="tx1"/>
                  </w14:solidFill>
                </w14:textFill>
              </w:rPr>
              <w:t>检查</w:t>
            </w:r>
          </w:p>
        </w:tc>
        <w:tc>
          <w:tcPr>
            <w:tcW w:w="38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放射诊疗机构</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(含中医医疗机构)</w:t>
            </w:r>
          </w:p>
        </w:tc>
        <w:tc>
          <w:tcPr>
            <w:tcW w:w="19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5%</w:t>
            </w:r>
          </w:p>
        </w:tc>
        <w:tc>
          <w:tcPr>
            <w:tcW w:w="119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16户（每区1户）</w:t>
            </w:r>
          </w:p>
        </w:tc>
        <w:tc>
          <w:tcPr>
            <w:tcW w:w="112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剩余</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任务</w:t>
            </w:r>
          </w:p>
        </w:tc>
        <w:tc>
          <w:tcPr>
            <w:tcW w:w="240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国家随机监督抽查任务名单以外，优先抽取2020年行政处罚过的被监督单位。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30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p>
        </w:tc>
        <w:tc>
          <w:tcPr>
            <w:tcW w:w="24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职业健康</w:t>
            </w:r>
            <w:r>
              <w:rPr>
                <w:rFonts w:hint="default" w:ascii="Times New Roman" w:eastAsia="楷体_GB2312"/>
                <w:b w:val="0"/>
                <w:bCs w:val="0"/>
                <w:color w:val="000000" w:themeColor="text1"/>
                <w:sz w:val="24"/>
                <w:szCs w:val="20"/>
                <w14:textFill>
                  <w14:solidFill>
                    <w14:schemeClr w14:val="tx1"/>
                  </w14:solidFill>
                </w14:textFill>
              </w:rPr>
              <w:br w:type="textWrapping"/>
            </w:r>
            <w:r>
              <w:rPr>
                <w:rFonts w:hint="default" w:ascii="Times New Roman" w:eastAsia="楷体_GB2312"/>
                <w:b w:val="0"/>
                <w:bCs w:val="0"/>
                <w:color w:val="000000" w:themeColor="text1"/>
                <w:sz w:val="24"/>
                <w:szCs w:val="20"/>
                <w14:textFill>
                  <w14:solidFill>
                    <w14:schemeClr w14:val="tx1"/>
                  </w14:solidFill>
                </w14:textFill>
              </w:rPr>
              <w:t>检查机构检查</w:t>
            </w:r>
          </w:p>
        </w:tc>
        <w:tc>
          <w:tcPr>
            <w:tcW w:w="38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职业健康检查机构</w:t>
            </w:r>
          </w:p>
        </w:tc>
        <w:tc>
          <w:tcPr>
            <w:tcW w:w="19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70%</w:t>
            </w:r>
          </w:p>
        </w:tc>
        <w:tc>
          <w:tcPr>
            <w:tcW w:w="119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4户</w:t>
            </w:r>
          </w:p>
        </w:tc>
        <w:tc>
          <w:tcPr>
            <w:tcW w:w="112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p>
        </w:tc>
        <w:tc>
          <w:tcPr>
            <w:tcW w:w="24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30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p>
        </w:tc>
        <w:tc>
          <w:tcPr>
            <w:tcW w:w="24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职业病诊断机构检查</w:t>
            </w:r>
          </w:p>
        </w:tc>
        <w:tc>
          <w:tcPr>
            <w:tcW w:w="38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职业病诊断机构</w:t>
            </w:r>
          </w:p>
        </w:tc>
        <w:tc>
          <w:tcPr>
            <w:tcW w:w="19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80%</w:t>
            </w:r>
          </w:p>
        </w:tc>
        <w:tc>
          <w:tcPr>
            <w:tcW w:w="119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2户</w:t>
            </w:r>
          </w:p>
        </w:tc>
        <w:tc>
          <w:tcPr>
            <w:tcW w:w="112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p>
        </w:tc>
        <w:tc>
          <w:tcPr>
            <w:tcW w:w="24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30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p>
        </w:tc>
        <w:tc>
          <w:tcPr>
            <w:tcW w:w="24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职业病鉴定机构检查</w:t>
            </w:r>
          </w:p>
        </w:tc>
        <w:tc>
          <w:tcPr>
            <w:tcW w:w="38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职业病鉴定机构</w:t>
            </w:r>
          </w:p>
        </w:tc>
        <w:tc>
          <w:tcPr>
            <w:tcW w:w="19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100%</w:t>
            </w:r>
          </w:p>
        </w:tc>
        <w:tc>
          <w:tcPr>
            <w:tcW w:w="119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1户</w:t>
            </w:r>
          </w:p>
        </w:tc>
        <w:tc>
          <w:tcPr>
            <w:tcW w:w="112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p>
        </w:tc>
        <w:tc>
          <w:tcPr>
            <w:tcW w:w="24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30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p>
        </w:tc>
        <w:tc>
          <w:tcPr>
            <w:tcW w:w="24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放射卫生技术</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服务机构检查</w:t>
            </w:r>
          </w:p>
        </w:tc>
        <w:tc>
          <w:tcPr>
            <w:tcW w:w="38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放射卫生技术服务机构</w:t>
            </w:r>
          </w:p>
        </w:tc>
        <w:tc>
          <w:tcPr>
            <w:tcW w:w="19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669" w:firstLineChars="300"/>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20%</w:t>
            </w:r>
          </w:p>
        </w:tc>
        <w:tc>
          <w:tcPr>
            <w:tcW w:w="119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2户</w:t>
            </w:r>
          </w:p>
        </w:tc>
        <w:tc>
          <w:tcPr>
            <w:tcW w:w="11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w:t>
            </w:r>
          </w:p>
        </w:tc>
        <w:tc>
          <w:tcPr>
            <w:tcW w:w="240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在国家随机监督抽查100%以外，另行进行抽取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308" w:type="dxa"/>
            <w:vMerge w:val="continue"/>
            <w:shd w:val="clear" w:color="auto" w:fill="auto"/>
            <w:vAlign w:val="center"/>
          </w:tcPr>
          <w:p>
            <w:pPr>
              <w:jc w:val="center"/>
              <w:rPr>
                <w:rFonts w:ascii="Times New Roman" w:eastAsia="楷体_GB2312"/>
                <w:b w:val="0"/>
                <w:bCs w:val="0"/>
                <w:color w:val="000000" w:themeColor="text1"/>
                <w:sz w:val="24"/>
                <w:szCs w:val="20"/>
                <w14:textFill>
                  <w14:solidFill>
                    <w14:schemeClr w14:val="tx1"/>
                  </w14:solidFill>
                </w14:textFill>
              </w:rPr>
            </w:pPr>
          </w:p>
        </w:tc>
        <w:tc>
          <w:tcPr>
            <w:tcW w:w="2430" w:type="dxa"/>
            <w:shd w:val="clear" w:color="auto" w:fill="auto"/>
            <w:vAlign w:val="center"/>
          </w:tcPr>
          <w:p>
            <w:pPr>
              <w:jc w:val="center"/>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职业卫生技术</w:t>
            </w:r>
          </w:p>
          <w:p>
            <w:pPr>
              <w:jc w:val="center"/>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服务机构检查</w:t>
            </w:r>
          </w:p>
        </w:tc>
        <w:tc>
          <w:tcPr>
            <w:tcW w:w="3825" w:type="dxa"/>
            <w:shd w:val="clear" w:color="auto" w:fill="auto"/>
            <w:vAlign w:val="center"/>
          </w:tcPr>
          <w:p>
            <w:pPr>
              <w:jc w:val="center"/>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职业卫生技术服务机构</w:t>
            </w:r>
          </w:p>
        </w:tc>
        <w:tc>
          <w:tcPr>
            <w:tcW w:w="1995" w:type="dxa"/>
            <w:shd w:val="clear" w:color="auto" w:fill="auto"/>
            <w:vAlign w:val="center"/>
          </w:tcPr>
          <w:p>
            <w:pPr>
              <w:jc w:val="center"/>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10%</w:t>
            </w:r>
          </w:p>
        </w:tc>
        <w:tc>
          <w:tcPr>
            <w:tcW w:w="1192" w:type="dxa"/>
            <w:shd w:val="clear" w:color="auto" w:fill="auto"/>
            <w:vAlign w:val="center"/>
          </w:tcPr>
          <w:p>
            <w:pPr>
              <w:jc w:val="center"/>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3户</w:t>
            </w:r>
          </w:p>
        </w:tc>
        <w:tc>
          <w:tcPr>
            <w:tcW w:w="1124" w:type="dxa"/>
            <w:shd w:val="clear" w:color="auto" w:fill="auto"/>
            <w:vAlign w:val="center"/>
          </w:tcPr>
          <w:p>
            <w:pPr>
              <w:jc w:val="center"/>
              <w:rPr>
                <w:rFonts w:ascii="Times New Roman" w:eastAsia="楷体_GB2312"/>
                <w:b w:val="0"/>
                <w:bCs w:val="0"/>
                <w:color w:val="000000" w:themeColor="text1"/>
                <w:sz w:val="24"/>
                <w:szCs w:val="20"/>
                <w14:textFill>
                  <w14:solidFill>
                    <w14:schemeClr w14:val="tx1"/>
                  </w14:solidFill>
                </w14:textFill>
              </w:rPr>
            </w:pPr>
            <w:r>
              <w:rPr>
                <w:rFonts w:hint="default" w:ascii="Times New Roman" w:eastAsia="楷体_GB2312"/>
                <w:b w:val="0"/>
                <w:bCs w:val="0"/>
                <w:color w:val="000000" w:themeColor="text1"/>
                <w:sz w:val="24"/>
                <w:szCs w:val="20"/>
                <w14:textFill>
                  <w14:solidFill>
                    <w14:schemeClr w14:val="tx1"/>
                  </w14:solidFill>
                </w14:textFill>
              </w:rPr>
              <w:t>——</w:t>
            </w:r>
          </w:p>
        </w:tc>
        <w:tc>
          <w:tcPr>
            <w:tcW w:w="2409" w:type="dxa"/>
            <w:vMerge w:val="continue"/>
            <w:shd w:val="clear" w:color="auto" w:fill="auto"/>
            <w:vAlign w:val="center"/>
          </w:tcPr>
          <w:p>
            <w:pPr>
              <w:jc w:val="center"/>
              <w:rPr>
                <w:rFonts w:ascii="Times New Roman" w:eastAsia="楷体_GB2312"/>
                <w:b w:val="0"/>
                <w:bCs w:val="0"/>
                <w:color w:val="000000" w:themeColor="text1"/>
                <w:sz w:val="24"/>
                <w:szCs w:val="20"/>
                <w14:textFill>
                  <w14:solidFill>
                    <w14:schemeClr w14:val="tx1"/>
                  </w14:solidFill>
                </w14:textFill>
              </w:rPr>
            </w:pPr>
          </w:p>
        </w:tc>
      </w:tr>
      <w:bookmarkEnd w:id="0"/>
    </w:tbl>
    <w:p>
      <w:pPr>
        <w:rPr>
          <w:rFonts w:ascii="Times New Roman" w:eastAsia="仿宋_GB2312"/>
          <w:sz w:val="32"/>
          <w:szCs w:val="32"/>
        </w:rPr>
        <w:sectPr>
          <w:pgSz w:w="16838" w:h="11906" w:orient="landscape"/>
          <w:pgMar w:top="1587" w:right="2098" w:bottom="1474" w:left="1985" w:header="851" w:footer="1077" w:gutter="0"/>
          <w:pgNumType w:fmt="numberInDash"/>
          <w:cols w:space="0" w:num="1"/>
          <w:rtlGutter w:val="0"/>
          <w:docGrid w:type="linesAndChars" w:linePitch="579" w:charSpace="-3633"/>
        </w:sect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CB2C9D"/>
    <w:rsid w:val="6ECB2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6"/>
    <w:basedOn w:val="1"/>
    <w:next w:val="1"/>
    <w:qFormat/>
    <w:uiPriority w:val="99"/>
    <w:pPr>
      <w:keepNext/>
      <w:keepLines/>
      <w:spacing w:before="240" w:after="64" w:line="319" w:lineRule="auto"/>
      <w:outlineLvl w:val="5"/>
    </w:pPr>
    <w:rPr>
      <w:rFonts w:ascii="Arial" w:hAnsi="Arial" w:eastAsia="黑体"/>
      <w:b/>
      <w:bCs/>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2021-05-18T07:59:00Z</dcterms:created>
  <dc:creator>雨熹 Cisia</dc:creator>
  <cp:lastModifiedBy>雨熹 Cisia</cp:lastModifiedBy>
  <dcterms:modified xsi:type="dcterms:W3CDTF">2021-05-18T07:59:58Z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