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spacing w:before="0" w:beforeAutospacing="0" w:after="0" w:afterAutospacing="0" w:line="240" w:lineRule="auto"/>
        <w:jc w:val="left"/>
        <w:textAlignment w:val="baseline"/>
        <w:rPr>
          <w:rStyle w:val="5"/>
          <w:rFonts w:ascii="仿宋_GB2312" w:eastAsia="仿宋_GB2312"/>
          <w:b w:val="0"/>
          <w:i w:val="0"/>
          <w:caps w:val="0"/>
          <w:spacing w:val="0"/>
          <w:w w:val="100"/>
          <w:kern w:val="2"/>
          <w:sz w:val="32"/>
          <w:szCs w:val="32"/>
          <w:lang w:val="en-US" w:eastAsia="zh-CN" w:bidi="ar-SA"/>
        </w:rPr>
      </w:pPr>
    </w:p>
    <w:p>
      <w:pPr>
        <w:snapToGrid/>
        <w:spacing w:before="0" w:beforeAutospacing="0" w:after="0" w:afterAutospacing="0" w:line="560" w:lineRule="exact"/>
        <w:jc w:val="center"/>
        <w:textAlignment w:val="baseline"/>
        <w:rPr>
          <w:rStyle w:val="5"/>
          <w:rFonts w:ascii="仿宋_GB2312" w:hAnsi="方正小标宋_GBK" w:eastAsia="仿宋_GB2312"/>
          <w:b w:val="0"/>
          <w:i w:val="0"/>
          <w:caps w:val="0"/>
          <w:spacing w:val="0"/>
          <w:w w:val="100"/>
          <w:kern w:val="2"/>
          <w:sz w:val="44"/>
          <w:szCs w:val="44"/>
          <w:lang w:val="en-US" w:eastAsia="zh-CN" w:bidi="ar-SA"/>
        </w:rPr>
      </w:pPr>
      <w:r>
        <w:rPr>
          <w:rStyle w:val="5"/>
          <w:rFonts w:ascii="方正小标宋_GBK" w:hAnsi="方正小标宋_GBK" w:eastAsia="方正小标宋_GBK"/>
          <w:b w:val="0"/>
          <w:i w:val="0"/>
          <w:caps w:val="0"/>
          <w:spacing w:val="0"/>
          <w:w w:val="100"/>
          <w:kern w:val="2"/>
          <w:sz w:val="44"/>
          <w:szCs w:val="44"/>
          <w:lang w:val="en-US" w:eastAsia="zh-CN" w:bidi="ar-SA"/>
        </w:rPr>
        <w:t>海南省医疗保障局</w:t>
      </w:r>
      <w:r>
        <w:rPr>
          <w:rStyle w:val="5"/>
          <w:rFonts w:hint="eastAsia" w:ascii="方正小标宋_GBK" w:hAnsi="方正小标宋_GBK" w:eastAsia="方正小标宋_GBK"/>
          <w:b w:val="0"/>
          <w:i w:val="0"/>
          <w:caps w:val="0"/>
          <w:spacing w:val="0"/>
          <w:w w:val="100"/>
          <w:kern w:val="2"/>
          <w:sz w:val="44"/>
          <w:szCs w:val="44"/>
          <w:lang w:val="en-US" w:eastAsia="zh-CN" w:bidi="ar-SA"/>
        </w:rPr>
        <w:t xml:space="preserve"> 海南省卫生健康委员会</w:t>
      </w:r>
      <w:r>
        <w:rPr>
          <w:rStyle w:val="5"/>
          <w:rFonts w:ascii="方正小标宋_GBK" w:hAnsi="方正小标宋_GBK" w:eastAsia="方正小标宋_GBK"/>
          <w:b w:val="0"/>
          <w:i w:val="0"/>
          <w:caps w:val="0"/>
          <w:spacing w:val="0"/>
          <w:w w:val="100"/>
          <w:kern w:val="2"/>
          <w:sz w:val="44"/>
          <w:szCs w:val="44"/>
          <w:lang w:val="en-US" w:eastAsia="zh-CN" w:bidi="ar-SA"/>
        </w:rPr>
        <w:t>关于明确对体外诊断检验试剂开展网上采购的通知</w:t>
      </w:r>
      <w:r>
        <w:rPr>
          <w:rStyle w:val="5"/>
          <w:rFonts w:hint="eastAsia" w:ascii="方正小标宋_GBK" w:hAnsi="方正小标宋_GBK" w:eastAsia="方正小标宋_GBK"/>
          <w:b w:val="0"/>
          <w:i w:val="0"/>
          <w:caps w:val="0"/>
          <w:spacing w:val="0"/>
          <w:w w:val="100"/>
          <w:kern w:val="2"/>
          <w:sz w:val="44"/>
          <w:szCs w:val="44"/>
          <w:lang w:val="en-US" w:eastAsia="zh-CN" w:bidi="ar-SA"/>
        </w:rPr>
        <w:t>（征求意见稿）</w:t>
      </w:r>
    </w:p>
    <w:p>
      <w:pPr>
        <w:widowControl/>
        <w:shd w:val="clear" w:color="auto" w:fill="FFFFFF"/>
        <w:snapToGrid w:val="0"/>
        <w:spacing w:before="0" w:beforeAutospacing="0" w:after="0" w:afterAutospacing="0" w:line="560" w:lineRule="exact"/>
        <w:jc w:val="both"/>
        <w:textAlignment w:val="baseline"/>
        <w:rPr>
          <w:rStyle w:val="5"/>
          <w:rFonts w:ascii="仿宋_GB2312" w:hAnsi="仿宋" w:eastAsia="仿宋_GB2312"/>
          <w:b w:val="0"/>
          <w:i w:val="0"/>
          <w:caps w:val="0"/>
          <w:color w:val="000000"/>
          <w:spacing w:val="0"/>
          <w:w w:val="100"/>
          <w:kern w:val="0"/>
          <w:sz w:val="32"/>
          <w:szCs w:val="32"/>
          <w:lang w:val="en-US" w:eastAsia="zh-CN" w:bidi="ar-SA"/>
        </w:rPr>
      </w:pPr>
    </w:p>
    <w:p>
      <w:pPr>
        <w:widowControl/>
        <w:shd w:val="clear" w:color="auto" w:fill="FFFFFF"/>
        <w:snapToGrid w:val="0"/>
        <w:spacing w:before="0" w:beforeAutospacing="0" w:after="0" w:afterAutospacing="0" w:line="560" w:lineRule="exact"/>
        <w:jc w:val="both"/>
        <w:textAlignment w:val="baseline"/>
        <w:rPr>
          <w:rStyle w:val="5"/>
          <w:rFonts w:ascii="仿宋_GB2312" w:hAnsi="仿宋" w:eastAsia="仿宋_GB2312"/>
          <w:b w:val="0"/>
          <w:i w:val="0"/>
          <w:caps w:val="0"/>
          <w:color w:val="000000"/>
          <w:spacing w:val="0"/>
          <w:w w:val="100"/>
          <w:kern w:val="0"/>
          <w:sz w:val="32"/>
          <w:szCs w:val="32"/>
          <w:lang w:val="en-US" w:eastAsia="zh-CN" w:bidi="ar-SA"/>
        </w:rPr>
      </w:pPr>
      <w:r>
        <w:rPr>
          <w:rStyle w:val="5"/>
          <w:rFonts w:ascii="仿宋_GB2312" w:hAnsi="仿宋" w:eastAsia="仿宋_GB2312"/>
          <w:b w:val="0"/>
          <w:i w:val="0"/>
          <w:caps w:val="0"/>
          <w:color w:val="000000"/>
          <w:spacing w:val="0"/>
          <w:w w:val="100"/>
          <w:kern w:val="0"/>
          <w:sz w:val="32"/>
          <w:szCs w:val="32"/>
          <w:lang w:val="en-US" w:eastAsia="zh-CN" w:bidi="ar-SA"/>
        </w:rPr>
        <w:t>各市、县、自治县、洋浦经济开发区医疗保障</w:t>
      </w:r>
      <w:r>
        <w:rPr>
          <w:rStyle w:val="5"/>
          <w:rFonts w:hint="eastAsia" w:ascii="仿宋_GB2312" w:hAnsi="仿宋"/>
          <w:b w:val="0"/>
          <w:i w:val="0"/>
          <w:caps w:val="0"/>
          <w:color w:val="000000"/>
          <w:spacing w:val="0"/>
          <w:w w:val="100"/>
          <w:kern w:val="0"/>
          <w:sz w:val="32"/>
          <w:szCs w:val="32"/>
          <w:lang w:val="en-US" w:eastAsia="zh-CN" w:bidi="ar-SA"/>
        </w:rPr>
        <w:t>局</w:t>
      </w:r>
      <w:r>
        <w:rPr>
          <w:rStyle w:val="5"/>
          <w:rFonts w:ascii="仿宋_GB2312" w:hAnsi="仿宋" w:eastAsia="仿宋_GB2312"/>
          <w:b w:val="0"/>
          <w:i w:val="0"/>
          <w:caps w:val="0"/>
          <w:color w:val="000000"/>
          <w:spacing w:val="0"/>
          <w:w w:val="100"/>
          <w:kern w:val="0"/>
          <w:sz w:val="32"/>
          <w:szCs w:val="32"/>
          <w:lang w:val="en-US" w:eastAsia="zh-CN" w:bidi="ar-SA"/>
        </w:rPr>
        <w:t>，全省所有公立医疗机构、部队医院、医保定点民营医院，省公共资源交易服务中心：</w:t>
      </w:r>
    </w:p>
    <w:p>
      <w:pPr>
        <w:snapToGrid/>
        <w:spacing w:before="0" w:beforeAutospacing="0" w:after="0" w:afterAutospacing="0" w:line="560" w:lineRule="exact"/>
        <w:ind w:firstLine="630"/>
        <w:jc w:val="both"/>
        <w:textAlignment w:val="baseline"/>
        <w:rPr>
          <w:rStyle w:val="5"/>
          <w:rFonts w:ascii="仿宋_GB2312" w:hAnsi="仿宋" w:eastAsia="仿宋_GB2312"/>
          <w:b w:val="0"/>
          <w:i w:val="0"/>
          <w:caps w:val="0"/>
          <w:color w:val="000000"/>
          <w:spacing w:val="0"/>
          <w:w w:val="100"/>
          <w:kern w:val="0"/>
          <w:sz w:val="32"/>
          <w:szCs w:val="32"/>
          <w:lang w:val="en-US" w:eastAsia="zh-CN" w:bidi="ar-SA"/>
        </w:rPr>
      </w:pPr>
      <w:r>
        <w:rPr>
          <w:rStyle w:val="5"/>
          <w:rFonts w:ascii="仿宋_GB2312" w:hAnsi="仿宋" w:eastAsia="仿宋_GB2312"/>
          <w:b w:val="0"/>
          <w:i w:val="0"/>
          <w:caps w:val="0"/>
          <w:color w:val="000000"/>
          <w:spacing w:val="0"/>
          <w:w w:val="100"/>
          <w:kern w:val="0"/>
          <w:sz w:val="32"/>
          <w:szCs w:val="32"/>
          <w:lang w:val="en-US" w:eastAsia="zh-CN" w:bidi="ar-SA"/>
        </w:rPr>
        <w:t>为规范体外诊断检验试剂购销行为，保障体外诊断检验试剂质量和供应，推进采购价格趋近合理化,根据《海南省实施以医保支付结算价为基础的药品（医用耗材）限价阳光采购规则（试行）》(琼医保规〔2019〕2号)，现对有关事项通知如下：</w:t>
      </w:r>
    </w:p>
    <w:p>
      <w:pPr>
        <w:numPr>
          <w:ilvl w:val="0"/>
          <w:numId w:val="1"/>
        </w:numPr>
        <w:snapToGrid/>
        <w:spacing w:before="0" w:beforeAutospacing="0" w:after="0" w:afterAutospacing="0" w:line="560" w:lineRule="exact"/>
        <w:ind w:firstLine="630"/>
        <w:jc w:val="both"/>
        <w:textAlignment w:val="baseline"/>
        <w:rPr>
          <w:rStyle w:val="5"/>
          <w:rFonts w:ascii="仿宋_GB2312" w:hAnsi="仿宋" w:eastAsia="仿宋_GB2312"/>
          <w:b w:val="0"/>
          <w:i w:val="0"/>
          <w:caps w:val="0"/>
          <w:color w:val="000000"/>
          <w:spacing w:val="0"/>
          <w:w w:val="100"/>
          <w:kern w:val="0"/>
          <w:sz w:val="32"/>
          <w:szCs w:val="32"/>
          <w:lang w:val="en-US" w:eastAsia="zh-CN" w:bidi="ar-SA"/>
        </w:rPr>
      </w:pPr>
      <w:r>
        <w:rPr>
          <w:rStyle w:val="5"/>
          <w:rFonts w:ascii="仿宋_GB2312" w:hAnsi="仿宋" w:eastAsia="仿宋_GB2312"/>
          <w:b w:val="0"/>
          <w:i w:val="0"/>
          <w:caps w:val="0"/>
          <w:color w:val="000000"/>
          <w:spacing w:val="0"/>
          <w:w w:val="100"/>
          <w:kern w:val="0"/>
          <w:sz w:val="32"/>
          <w:szCs w:val="32"/>
          <w:lang w:val="en-US" w:eastAsia="zh-CN" w:bidi="ar-SA"/>
        </w:rPr>
        <w:t>海南省医药集中采购服务平台是体外诊断检验试剂集中挂网阳光采购的服务载体，全省所有公立医疗机构（包括基层医疗机构）、公共卫生机构使用的体外诊断检验试剂</w:t>
      </w:r>
      <w:r>
        <w:rPr>
          <w:rStyle w:val="5"/>
          <w:rFonts w:hint="eastAsia" w:ascii="仿宋_GB2312" w:hAnsi="仿宋"/>
          <w:b w:val="0"/>
          <w:i w:val="0"/>
          <w:caps w:val="0"/>
          <w:color w:val="000000"/>
          <w:spacing w:val="0"/>
          <w:w w:val="100"/>
          <w:kern w:val="0"/>
          <w:sz w:val="32"/>
          <w:szCs w:val="32"/>
          <w:lang w:val="en-US" w:eastAsia="zh-CN" w:bidi="ar-SA"/>
        </w:rPr>
        <w:t>均应在海南省医药集中采购服务平台上进行采购，未挂网交易的产品除外</w:t>
      </w:r>
      <w:r>
        <w:rPr>
          <w:rStyle w:val="5"/>
          <w:rFonts w:ascii="仿宋_GB2312" w:hAnsi="仿宋" w:eastAsia="仿宋_GB2312"/>
          <w:b w:val="0"/>
          <w:i w:val="0"/>
          <w:caps w:val="0"/>
          <w:color w:val="000000"/>
          <w:spacing w:val="0"/>
          <w:w w:val="100"/>
          <w:kern w:val="0"/>
          <w:sz w:val="32"/>
          <w:szCs w:val="32"/>
          <w:lang w:val="en-US" w:eastAsia="zh-CN" w:bidi="ar-SA"/>
        </w:rPr>
        <w:t>。</w:t>
      </w:r>
    </w:p>
    <w:p>
      <w:pPr>
        <w:widowControl/>
        <w:numPr>
          <w:ilvl w:val="0"/>
          <w:numId w:val="1"/>
        </w:numPr>
        <w:wordWrap/>
        <w:adjustRightInd/>
        <w:snapToGrid/>
        <w:spacing w:before="0" w:beforeAutospacing="0" w:after="0" w:afterAutospacing="0" w:line="240" w:lineRule="auto"/>
        <w:ind w:left="0" w:leftChars="0" w:right="0" w:firstLine="632" w:firstLineChars="0"/>
        <w:jc w:val="both"/>
        <w:textAlignment w:val="baseline"/>
        <w:outlineLvl w:val="9"/>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海南省公共资源交易服务中心已完成第一批体外诊断检验试剂产品的平台挂网交易工作，具体挂网产品目录详见附件。</w:t>
      </w:r>
      <w:r>
        <w:rPr>
          <w:rStyle w:val="5"/>
          <w:rFonts w:hint="eastAsia" w:ascii="仿宋_GB2312" w:hAnsi="仿宋"/>
          <w:b w:val="0"/>
          <w:i w:val="0"/>
          <w:caps w:val="0"/>
          <w:spacing w:val="0"/>
          <w:w w:val="100"/>
          <w:kern w:val="2"/>
          <w:sz w:val="32"/>
          <w:szCs w:val="32"/>
          <w:lang w:val="en-US" w:eastAsia="zh-CN" w:bidi="ar-SA"/>
        </w:rPr>
        <w:t>对纳入第一批已挂网交易的体外诊断检验试剂产品，各公立医疗机构原则上均应在海南省医药集中釆购服务平台上进行釆购，鼓励医保定点民营医院在海南省医药集中釆购服务平台上进行釆购。</w:t>
      </w:r>
    </w:p>
    <w:p>
      <w:pPr>
        <w:widowControl/>
        <w:numPr>
          <w:numId w:val="0"/>
        </w:numPr>
        <w:wordWrap/>
        <w:adjustRightInd/>
        <w:snapToGrid/>
        <w:spacing w:before="0" w:beforeAutospacing="0" w:after="0" w:afterAutospacing="0" w:line="240" w:lineRule="auto"/>
        <w:ind w:left="0" w:leftChars="0" w:right="0" w:firstLine="632" w:firstLineChars="200"/>
        <w:jc w:val="both"/>
        <w:textAlignment w:val="baseline"/>
        <w:outlineLvl w:val="9"/>
        <w:rPr>
          <w:rStyle w:val="5"/>
          <w:rFonts w:hint="eastAsia" w:ascii="仿宋_GB2312" w:hAnsi="仿宋" w:eastAsia="仿宋_GB2312"/>
          <w:b w:val="0"/>
          <w:i w:val="0"/>
          <w:caps w:val="0"/>
          <w:spacing w:val="0"/>
          <w:w w:val="100"/>
          <w:kern w:val="2"/>
          <w:sz w:val="32"/>
          <w:szCs w:val="32"/>
          <w:lang w:val="en-US" w:eastAsia="zh-CN" w:bidi="ar-SA"/>
        </w:rPr>
      </w:pPr>
      <w:r>
        <w:rPr>
          <w:rStyle w:val="5"/>
          <w:rFonts w:hint="eastAsia" w:ascii="仿宋_GB2312" w:hAnsi="仿宋"/>
          <w:b w:val="0"/>
          <w:i w:val="0"/>
          <w:caps w:val="0"/>
          <w:spacing w:val="0"/>
          <w:w w:val="100"/>
          <w:kern w:val="2"/>
          <w:sz w:val="32"/>
          <w:szCs w:val="32"/>
          <w:lang w:val="en-US" w:eastAsia="zh-CN" w:bidi="ar-SA"/>
        </w:rPr>
        <w:t>三、各定点医疗机构与生产企业需登录招采平台系统自行议价，待议价结果双方确认后向招采平台备案。议价价格不得超过该企业申报和挂网的价格以及招采平台每年动态调整的挂网价格。</w:t>
      </w:r>
    </w:p>
    <w:p>
      <w:pPr>
        <w:snapToGrid/>
        <w:spacing w:before="0" w:beforeAutospacing="0" w:after="0" w:afterAutospacing="0" w:line="560" w:lineRule="exact"/>
        <w:ind w:left="0" w:leftChars="0" w:right="0" w:firstLine="632" w:firstLineChars="200"/>
        <w:jc w:val="both"/>
        <w:textAlignment w:val="baseline"/>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三、公立医疗卫生机构有下列行为的，省医保局将视情节轻重给予约谈、通报批评、限期整改等处理：（1）违规网下采购的；（2）在省医药集中采购服务平台隐瞒采购信息或提供虚假采购信息的；（3）不按照规定与生产经营企业签订购销合同或购销协议的。</w:t>
      </w:r>
    </w:p>
    <w:p>
      <w:pPr>
        <w:snapToGrid/>
        <w:spacing w:before="0" w:beforeAutospacing="0" w:after="0" w:afterAutospacing="0" w:line="560" w:lineRule="exact"/>
        <w:ind w:left="0" w:leftChars="0" w:right="0" w:firstLine="632" w:firstLineChars="200"/>
        <w:jc w:val="both"/>
        <w:textAlignment w:val="baseline"/>
        <w:rPr>
          <w:rStyle w:val="5"/>
          <w:rFonts w:hint="eastAsia" w:ascii="仿宋_GB2312" w:hAnsi="仿宋" w:eastAsia="仿宋_GB2312"/>
          <w:b w:val="0"/>
          <w:i w:val="0"/>
          <w:caps w:val="0"/>
          <w:spacing w:val="0"/>
          <w:w w:val="100"/>
          <w:kern w:val="2"/>
          <w:sz w:val="32"/>
          <w:szCs w:val="32"/>
          <w:lang w:val="en-US" w:eastAsia="zh-CN" w:bidi="ar-SA"/>
        </w:rPr>
      </w:pPr>
      <w:r>
        <w:rPr>
          <w:rStyle w:val="5"/>
          <w:rFonts w:hint="eastAsia" w:ascii="仿宋_GB2312" w:hAnsi="仿宋"/>
          <w:b w:val="0"/>
          <w:i w:val="0"/>
          <w:caps w:val="0"/>
          <w:spacing w:val="0"/>
          <w:w w:val="100"/>
          <w:kern w:val="2"/>
          <w:sz w:val="32"/>
          <w:szCs w:val="32"/>
          <w:lang w:val="en-US" w:eastAsia="zh-CN" w:bidi="ar-SA"/>
        </w:rPr>
        <w:t>四、本通知执行时间自印发之日起执行。</w:t>
      </w: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left="0" w:leftChars="0" w:right="0" w:firstLine="632" w:firstLineChars="200"/>
        <w:jc w:val="both"/>
        <w:textAlignment w:val="baseline"/>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附件：第一批体外诊断检验试剂挂网产品表      </w:t>
      </w: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 xml:space="preserve">                      </w:t>
      </w:r>
    </w:p>
    <w:p>
      <w:pPr>
        <w:snapToGrid/>
        <w:spacing w:before="0" w:beforeAutospacing="0" w:after="0" w:afterAutospacing="0" w:line="560" w:lineRule="exact"/>
        <w:ind w:firstLine="5054" w:firstLineChars="1600"/>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5054" w:firstLineChars="1600"/>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5054" w:firstLineChars="1600"/>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ind w:firstLine="5054" w:firstLineChars="1600"/>
        <w:jc w:val="both"/>
        <w:textAlignment w:val="baseline"/>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海南省医疗保障局</w:t>
      </w: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 xml:space="preserve">                                2021年4月  日</w:t>
      </w:r>
    </w:p>
    <w:p>
      <w:pPr>
        <w:snapToGrid/>
        <w:spacing w:before="0" w:beforeAutospacing="0" w:after="0" w:afterAutospacing="0" w:line="560" w:lineRule="exact"/>
        <w:ind w:firstLine="630"/>
        <w:jc w:val="both"/>
        <w:textAlignment w:val="baseline"/>
        <w:rPr>
          <w:rStyle w:val="5"/>
          <w:rFonts w:ascii="仿宋_GB2312" w:hAnsi="仿宋" w:eastAsia="仿宋_GB2312"/>
          <w:b w:val="0"/>
          <w:i w:val="0"/>
          <w:caps w:val="0"/>
          <w:spacing w:val="0"/>
          <w:w w:val="100"/>
          <w:kern w:val="2"/>
          <w:sz w:val="32"/>
          <w:szCs w:val="32"/>
          <w:lang w:val="en-US" w:eastAsia="zh-CN" w:bidi="ar-SA"/>
        </w:rPr>
      </w:pPr>
      <w:r>
        <w:rPr>
          <w:rStyle w:val="5"/>
          <w:rFonts w:ascii="仿宋_GB2312" w:hAnsi="仿宋" w:eastAsia="仿宋_GB2312"/>
          <w:b w:val="0"/>
          <w:i w:val="0"/>
          <w:caps w:val="0"/>
          <w:spacing w:val="0"/>
          <w:w w:val="100"/>
          <w:kern w:val="2"/>
          <w:sz w:val="32"/>
          <w:szCs w:val="32"/>
          <w:lang w:val="en-US" w:eastAsia="zh-CN" w:bidi="ar-SA"/>
        </w:rPr>
        <w:t>（此件</w:t>
      </w:r>
      <w:r>
        <w:rPr>
          <w:rStyle w:val="5"/>
          <w:rFonts w:hint="eastAsia" w:ascii="仿宋_GB2312" w:hAnsi="仿宋"/>
          <w:b w:val="0"/>
          <w:i w:val="0"/>
          <w:caps w:val="0"/>
          <w:spacing w:val="0"/>
          <w:w w:val="100"/>
          <w:kern w:val="2"/>
          <w:sz w:val="32"/>
          <w:szCs w:val="32"/>
          <w:lang w:val="en-US" w:eastAsia="zh-CN" w:bidi="ar-SA"/>
        </w:rPr>
        <w:t>主动</w:t>
      </w:r>
      <w:bookmarkStart w:id="0" w:name="_GoBack"/>
      <w:bookmarkEnd w:id="0"/>
      <w:r>
        <w:rPr>
          <w:rStyle w:val="5"/>
          <w:rFonts w:ascii="仿宋_GB2312" w:hAnsi="仿宋" w:eastAsia="仿宋_GB2312"/>
          <w:b w:val="0"/>
          <w:i w:val="0"/>
          <w:caps w:val="0"/>
          <w:spacing w:val="0"/>
          <w:w w:val="100"/>
          <w:kern w:val="2"/>
          <w:sz w:val="32"/>
          <w:szCs w:val="32"/>
          <w:lang w:val="en-US" w:eastAsia="zh-CN" w:bidi="ar-SA"/>
        </w:rPr>
        <w:t>公开）</w:t>
      </w: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5"/>
          <w:rFonts w:ascii="仿宋_GB2312" w:hAnsi="仿宋" w:eastAsia="仿宋_GB2312"/>
          <w:b w:val="0"/>
          <w:i w:val="0"/>
          <w:caps w:val="0"/>
          <w:spacing w:val="0"/>
          <w:w w:val="100"/>
          <w:kern w:val="2"/>
          <w:sz w:val="32"/>
          <w:szCs w:val="32"/>
          <w:lang w:val="en-US" w:eastAsia="zh-CN" w:bidi="ar-SA"/>
        </w:rPr>
      </w:pPr>
    </w:p>
    <w:sectPr>
      <w:headerReference r:id="rId4" w:type="default"/>
      <w:footerReference r:id="rId5" w:type="default"/>
      <w:footerReference r:id="rId6" w:type="even"/>
      <w:pgSz w:w="11906" w:h="16838"/>
      <w:pgMar w:top="1814" w:right="1531" w:bottom="1418" w:left="1531" w:header="851" w:footer="1134" w:gutter="0"/>
      <w:paperSrc w:first="0" w:oth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widowControl/>
      <w:snapToGrid w:val="0"/>
      <w:jc w:val="right"/>
      <w:textAlignment w:val="baseline"/>
      <w:rPr>
        <w:rStyle w:val="5"/>
        <w:rFonts w:ascii="宋体" w:hAnsi="宋体" w:eastAsia="宋体"/>
        <w:kern w:val="2"/>
        <w:sz w:val="28"/>
        <w:szCs w:val="28"/>
        <w:lang w:val="en-US" w:eastAsia="zh-CN" w:bidi="ar-SA"/>
      </w:rPr>
    </w:pPr>
    <w:r>
      <w:rPr>
        <w:rFonts w:ascii="Times New Roman" w:hAnsi="Times New Roman" w:eastAsia="仿宋_GB2312" w:cs="Times New Roman"/>
        <w:kern w:val="2"/>
        <w:sz w:val="2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r>
      <w:rPr>
        <w:rStyle w:val="5"/>
        <w:rFonts w:ascii="宋体" w:hAnsi="宋体" w:eastAsia="宋体"/>
        <w:kern w:val="2"/>
        <w:sz w:val="28"/>
        <w:szCs w:val="28"/>
        <w:lang w:val="en-US" w:eastAsia="zh-CN" w:bidi="ar-SA"/>
      </w:rPr>
      <w:t>——</w:t>
    </w:r>
  </w:p>
  <w:p>
    <w:pPr>
      <w:pStyle w:val="3"/>
      <w:widowControl/>
      <w:snapToGrid w:val="0"/>
      <w:ind w:right="360" w:firstLine="360"/>
      <w:jc w:val="left"/>
      <w:textAlignment w:val="baseline"/>
      <w:rPr>
        <w:rStyle w:val="5"/>
        <w:rFonts w:eastAsia="仿宋_GB2312"/>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widowControl/>
      <w:snapToGrid w:val="0"/>
      <w:jc w:val="left"/>
      <w:textAlignment w:val="baseline"/>
      <w:rPr>
        <w:rStyle w:val="5"/>
        <w:rFonts w:ascii="宋体" w:hAnsi="宋体" w:eastAsia="宋体"/>
        <w:kern w:val="2"/>
        <w:sz w:val="28"/>
        <w:szCs w:val="28"/>
        <w:lang w:val="en-US" w:eastAsia="zh-CN" w:bidi="ar-SA"/>
      </w:rPr>
    </w:pPr>
    <w:r>
      <w:rPr>
        <w:rFonts w:ascii="Times New Roman" w:hAnsi="Times New Roman" w:eastAsia="仿宋_GB2312" w:cs="Times New Roman"/>
        <w:kern w:val="2"/>
        <w:sz w:val="28"/>
        <w:szCs w:val="18"/>
        <w:lang w:val="en-US" w:eastAsia="zh-CN" w:bidi="ar-SA"/>
      </w:rPr>
      <w:pict>
        <v:shape id="文本框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r>
      <w:rPr>
        <w:rStyle w:val="5"/>
        <w:rFonts w:ascii="宋体" w:hAnsi="宋体" w:eastAsia="宋体"/>
        <w:kern w:val="2"/>
        <w:sz w:val="28"/>
        <w:szCs w:val="28"/>
        <w:lang w:val="en-US" w:eastAsia="zh-CN" w:bidi="ar-SA"/>
      </w:rPr>
      <w:t>—</w:t>
    </w:r>
  </w:p>
  <w:p>
    <w:pPr>
      <w:pStyle w:val="3"/>
      <w:widowControl/>
      <w:snapToGrid w:val="0"/>
      <w:ind w:right="360"/>
      <w:jc w:val="left"/>
      <w:textAlignment w:val="baseline"/>
      <w:rPr>
        <w:rStyle w:val="5"/>
        <w:rFonts w:ascii="宋体" w:hAnsi="宋体" w:eastAsia="宋体"/>
        <w:kern w:val="2"/>
        <w:sz w:val="28"/>
        <w:szCs w:val="2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18562547">
    <w:nsid w:val="60794DF3"/>
    <w:multiLevelType w:val="singleLevel"/>
    <w:tmpl w:val="60794DF3"/>
    <w:lvl w:ilvl="0" w:tentative="1">
      <w:start w:val="1"/>
      <w:numFmt w:val="chineseCounting"/>
      <w:suff w:val="nothing"/>
      <w:lvlText w:val="%1、"/>
      <w:lvlJc w:val="left"/>
    </w:lvl>
  </w:abstractNum>
  <w:num w:numId="1">
    <w:abstractNumId w:val="16185625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isplayHorizontalDrawingGridEvery w:val="0"/>
  <w:displayVerticalDrawingGridEvery w:val="1"/>
  <w:doNotUseMarginsForDrawingGridOrigin w:val="1"/>
  <w:drawingGridHorizontalOrigin w:val="0"/>
  <w:drawingGridVerticalOrigin w:val="0"/>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textAlignment w:val="baseline"/>
    </w:pPr>
    <w:rPr>
      <w:rFonts w:ascii="Times New Roman" w:hAnsi="Times New Roman" w:eastAsia="仿宋_GB2312" w:cs="Times New Roman"/>
      <w:kern w:val="2"/>
      <w:sz w:val="32"/>
      <w:szCs w:val="32"/>
      <w:lang w:val="en-US" w:eastAsia="zh-CN" w:bidi="ar-SA"/>
    </w:rPr>
  </w:style>
  <w:style w:type="paragraph" w:customStyle="1" w:styleId="2">
    <w:name w:val="Header"/>
    <w:basedOn w:val="1"/>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
    <w:name w:val="Footer"/>
    <w:basedOn w:val="1"/>
    <w:link w:val="7"/>
    <w:uiPriority w:val="0"/>
    <w:pPr>
      <w:tabs>
        <w:tab w:val="center" w:pos="4153"/>
        <w:tab w:val="right" w:pos="8306"/>
      </w:tabs>
      <w:snapToGrid w:val="0"/>
      <w:jc w:val="left"/>
      <w:textAlignment w:val="baseline"/>
    </w:pPr>
    <w:rPr>
      <w:rFonts w:eastAsia="仿宋_GB2312"/>
      <w:kern w:val="2"/>
      <w:sz w:val="18"/>
      <w:szCs w:val="18"/>
      <w:lang w:val="en-US" w:eastAsia="zh-CN" w:bidi="ar-SA"/>
    </w:rPr>
  </w:style>
  <w:style w:type="paragraph" w:customStyle="1" w:styleId="4">
    <w:name w:val="Acetate"/>
    <w:basedOn w:val="1"/>
    <w:link w:val="6"/>
    <w:uiPriority w:val="0"/>
    <w:pPr>
      <w:jc w:val="both"/>
      <w:textAlignment w:val="baseline"/>
    </w:pPr>
    <w:rPr>
      <w:rFonts w:eastAsia="仿宋_GB2312"/>
      <w:kern w:val="2"/>
      <w:sz w:val="18"/>
      <w:szCs w:val="18"/>
      <w:lang w:val="en-US" w:eastAsia="zh-CN" w:bidi="ar-SA"/>
    </w:rPr>
  </w:style>
  <w:style w:type="character" w:customStyle="1" w:styleId="5">
    <w:name w:val="NormalCharacter"/>
    <w:uiPriority w:val="0"/>
  </w:style>
  <w:style w:type="character" w:customStyle="1" w:styleId="6">
    <w:name w:val="UserStyle_0"/>
    <w:link w:val="4"/>
    <w:uiPriority w:val="0"/>
    <w:rPr>
      <w:rFonts w:eastAsia="仿宋_GB2312"/>
      <w:kern w:val="2"/>
      <w:sz w:val="18"/>
      <w:szCs w:val="18"/>
    </w:rPr>
  </w:style>
  <w:style w:type="character" w:customStyle="1" w:styleId="7">
    <w:name w:val="UserStyle_1"/>
    <w:link w:val="3"/>
    <w:uiPriority w:val="0"/>
    <w:rPr>
      <w:rFonts w:eastAsia="仿宋_GB2312"/>
      <w:kern w:val="2"/>
      <w:sz w:val="18"/>
      <w:szCs w:val="18"/>
    </w:rPr>
  </w:style>
  <w:style w:type="character" w:customStyle="1" w:styleId="8">
    <w:name w:val="PageNumber"/>
    <w:basedOn w:val="5"/>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2021-04-18T03:58:00Z</dcterms:created>
  <cp:lastModifiedBy>温晨光</cp:lastModifiedBy>
  <cp:lastPrinted>2021-04-19T07:16:00Z</cp:lastPrinted>
  <dcterms:modified xsi:type="dcterms:W3CDTF">2021-04-26T08:38:33Z</dcterms:modified>
  <dc:title>海南省医疗保障局关于明确对体外诊断检验试剂开展网上采购的通知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