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rPr>
        <w:t>附件1</w:t>
      </w: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2021年北京市老年友善医疗机构评价标准</w:t>
      </w:r>
    </w:p>
    <w:tbl>
      <w:tblPr>
        <w:tblStyle w:val="4"/>
        <w:tblW w:w="0" w:type="auto"/>
        <w:jc w:val="center"/>
        <w:tblLayout w:type="fixed"/>
        <w:tblCellMar>
          <w:top w:w="0" w:type="dxa"/>
          <w:left w:w="108" w:type="dxa"/>
          <w:bottom w:w="0" w:type="dxa"/>
          <w:right w:w="108" w:type="dxa"/>
        </w:tblCellMar>
      </w:tblPr>
      <w:tblGrid>
        <w:gridCol w:w="1952"/>
        <w:gridCol w:w="1705"/>
        <w:gridCol w:w="10308"/>
      </w:tblGrid>
      <w:tr>
        <w:tblPrEx>
          <w:tblCellMar>
            <w:top w:w="0" w:type="dxa"/>
            <w:left w:w="108" w:type="dxa"/>
            <w:bottom w:w="0" w:type="dxa"/>
            <w:right w:w="108" w:type="dxa"/>
          </w:tblCellMar>
        </w:tblPrEx>
        <w:trPr>
          <w:trHeight w:val="646" w:hRule="atLeast"/>
          <w:tblHeader/>
          <w:jc w:val="center"/>
        </w:trPr>
        <w:tc>
          <w:tcPr>
            <w:tcW w:w="19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bCs w:val="0"/>
                <w:kern w:val="0"/>
                <w:sz w:val="28"/>
                <w:szCs w:val="28"/>
                <w:lang w:eastAsia="zh-CN"/>
              </w:rPr>
            </w:pPr>
            <w:r>
              <w:rPr>
                <w:rFonts w:hint="eastAsia" w:ascii="宋体" w:hAnsi="宋体" w:eastAsia="宋体" w:cs="宋体"/>
                <w:b/>
                <w:bCs w:val="0"/>
                <w:kern w:val="0"/>
                <w:sz w:val="28"/>
                <w:szCs w:val="28"/>
                <w:lang w:eastAsia="zh-CN"/>
              </w:rPr>
              <w:t>一级指标</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bCs w:val="0"/>
                <w:kern w:val="0"/>
                <w:sz w:val="28"/>
                <w:szCs w:val="28"/>
                <w:lang w:eastAsia="zh-CN"/>
              </w:rPr>
            </w:pPr>
            <w:r>
              <w:rPr>
                <w:rFonts w:hint="eastAsia" w:ascii="宋体" w:hAnsi="宋体" w:eastAsia="宋体" w:cs="宋体"/>
                <w:b/>
                <w:bCs w:val="0"/>
                <w:kern w:val="0"/>
                <w:sz w:val="28"/>
                <w:szCs w:val="28"/>
                <w:lang w:eastAsia="zh-CN"/>
              </w:rPr>
              <w:t>二级指标</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宋体" w:hAnsi="宋体" w:eastAsia="宋体" w:cs="宋体"/>
                <w:b/>
                <w:bCs w:val="0"/>
                <w:kern w:val="0"/>
                <w:sz w:val="28"/>
                <w:szCs w:val="28"/>
                <w:lang w:eastAsia="zh-CN"/>
              </w:rPr>
            </w:pPr>
            <w:r>
              <w:rPr>
                <w:rFonts w:hint="eastAsia" w:ascii="宋体" w:hAnsi="宋体" w:eastAsia="宋体" w:cs="宋体"/>
                <w:b/>
                <w:bCs w:val="0"/>
                <w:kern w:val="0"/>
                <w:sz w:val="28"/>
                <w:szCs w:val="28"/>
                <w:lang w:eastAsia="zh-CN"/>
              </w:rPr>
              <w:t>三级指标</w:t>
            </w:r>
          </w:p>
        </w:tc>
      </w:tr>
      <w:tr>
        <w:tblPrEx>
          <w:tblCellMar>
            <w:top w:w="0" w:type="dxa"/>
            <w:left w:w="108" w:type="dxa"/>
            <w:bottom w:w="0" w:type="dxa"/>
            <w:right w:w="108" w:type="dxa"/>
          </w:tblCellMar>
        </w:tblPrEx>
        <w:trPr>
          <w:trHeight w:val="264" w:hRule="atLeast"/>
          <w:jc w:val="center"/>
        </w:trPr>
        <w:tc>
          <w:tcPr>
            <w:tcW w:w="195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老年友善文化</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（15分）</w:t>
            </w:r>
          </w:p>
        </w:tc>
        <w:tc>
          <w:tcPr>
            <w:tcW w:w="1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文化建设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在机构愿景中</w:t>
            </w:r>
            <w:r>
              <w:rPr>
                <w:rFonts w:hint="eastAsia" w:ascii="仿宋_GB2312" w:hAnsi="仿宋_GB2312" w:eastAsia="仿宋_GB2312" w:cs="仿宋_GB2312"/>
                <w:kern w:val="0"/>
                <w:sz w:val="28"/>
                <w:szCs w:val="28"/>
                <w:lang w:eastAsia="zh-CN"/>
              </w:rPr>
              <w:t>体现</w:t>
            </w:r>
            <w:r>
              <w:rPr>
                <w:rFonts w:hint="eastAsia" w:ascii="仿宋_GB2312" w:hAnsi="仿宋_GB2312" w:eastAsia="仿宋_GB2312" w:cs="仿宋_GB2312"/>
                <w:kern w:val="0"/>
                <w:sz w:val="28"/>
                <w:szCs w:val="28"/>
              </w:rPr>
              <w:t>关爱老年人的内容（1分）</w:t>
            </w:r>
          </w:p>
        </w:tc>
      </w:tr>
      <w:tr>
        <w:tblPrEx>
          <w:tblCellMar>
            <w:top w:w="0" w:type="dxa"/>
            <w:left w:w="108" w:type="dxa"/>
            <w:bottom w:w="0" w:type="dxa"/>
            <w:right w:w="108" w:type="dxa"/>
          </w:tblCellMar>
        </w:tblPrEx>
        <w:trPr>
          <w:trHeight w:val="48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有保障老年人权益</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致力于提升老年人健康、尊严或鼓励老年人参与的内容（1分）</w:t>
            </w:r>
          </w:p>
        </w:tc>
      </w:tr>
      <w:tr>
        <w:tblPrEx>
          <w:tblCellMar>
            <w:top w:w="0" w:type="dxa"/>
            <w:left w:w="108" w:type="dxa"/>
            <w:bottom w:w="0" w:type="dxa"/>
            <w:right w:w="108" w:type="dxa"/>
          </w:tblCellMar>
        </w:tblPrEx>
        <w:trPr>
          <w:trHeight w:val="519"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在职工手册、行为守则等规范中有对老年人态度、行为、礼貌用语等的要求（1分）</w:t>
            </w:r>
          </w:p>
        </w:tc>
      </w:tr>
      <w:tr>
        <w:tblPrEx>
          <w:tblCellMar>
            <w:top w:w="0" w:type="dxa"/>
            <w:left w:w="108" w:type="dxa"/>
            <w:bottom w:w="0" w:type="dxa"/>
            <w:right w:w="108" w:type="dxa"/>
          </w:tblCellMar>
        </w:tblPrEx>
        <w:trPr>
          <w:trHeight w:val="30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友善氛围</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工作人员能以尊敬的态度与老年人交流（1分）</w:t>
            </w:r>
          </w:p>
        </w:tc>
      </w:tr>
      <w:tr>
        <w:tblPrEx>
          <w:tblCellMar>
            <w:top w:w="0" w:type="dxa"/>
            <w:left w:w="108" w:type="dxa"/>
            <w:bottom w:w="0" w:type="dxa"/>
            <w:right w:w="108" w:type="dxa"/>
          </w:tblCellMar>
        </w:tblPrEx>
        <w:trPr>
          <w:trHeight w:val="49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开展尊老、助老、护老等活动，老年人就医受到尊重（1分）</w:t>
            </w:r>
          </w:p>
        </w:tc>
      </w:tr>
      <w:tr>
        <w:tblPrEx>
          <w:tblCellMar>
            <w:top w:w="0" w:type="dxa"/>
            <w:left w:w="108" w:type="dxa"/>
            <w:bottom w:w="0" w:type="dxa"/>
            <w:right w:w="108" w:type="dxa"/>
          </w:tblCellMar>
        </w:tblPrEx>
        <w:trPr>
          <w:trHeight w:val="45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定期开展尊老、助老、护老相关的宣传、义诊等公益活动（1分）</w:t>
            </w:r>
          </w:p>
        </w:tc>
      </w:tr>
      <w:tr>
        <w:tblPrEx>
          <w:tblCellMar>
            <w:top w:w="0" w:type="dxa"/>
            <w:left w:w="108" w:type="dxa"/>
            <w:bottom w:w="0" w:type="dxa"/>
            <w:right w:w="108" w:type="dxa"/>
          </w:tblCellMar>
        </w:tblPrEx>
        <w:trPr>
          <w:trHeight w:val="30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向老年人公示各类便民服务信息（1分）</w:t>
            </w:r>
          </w:p>
        </w:tc>
      </w:tr>
      <w:tr>
        <w:tblPrEx>
          <w:tblCellMar>
            <w:top w:w="0" w:type="dxa"/>
            <w:left w:w="108" w:type="dxa"/>
            <w:bottom w:w="0" w:type="dxa"/>
            <w:right w:w="108" w:type="dxa"/>
          </w:tblCellMar>
        </w:tblPrEx>
        <w:trPr>
          <w:trHeight w:val="30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在老年人使用智能化设备的过程中，有专人为老年人提供指导服务（1分）</w:t>
            </w:r>
          </w:p>
        </w:tc>
      </w:tr>
      <w:tr>
        <w:tblPrEx>
          <w:tblCellMar>
            <w:top w:w="0" w:type="dxa"/>
            <w:left w:w="108" w:type="dxa"/>
            <w:bottom w:w="0" w:type="dxa"/>
            <w:right w:w="108" w:type="dxa"/>
          </w:tblCellMar>
        </w:tblPrEx>
        <w:trPr>
          <w:trHeight w:val="385"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健康宣教</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有针对就医老年人的健康宣教制度（1分）</w:t>
            </w:r>
          </w:p>
        </w:tc>
      </w:tr>
      <w:tr>
        <w:tblPrEx>
          <w:tblCellMar>
            <w:top w:w="0" w:type="dxa"/>
            <w:left w:w="108" w:type="dxa"/>
            <w:bottom w:w="0" w:type="dxa"/>
            <w:right w:w="108" w:type="dxa"/>
          </w:tblCellMar>
        </w:tblPrEx>
        <w:trPr>
          <w:trHeight w:val="385"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在门诊大厅等显著位置开展多种形式的老年健康促进和疾病预防知识宣教（1分）</w:t>
            </w:r>
          </w:p>
        </w:tc>
      </w:tr>
      <w:tr>
        <w:tblPrEx>
          <w:tblCellMar>
            <w:top w:w="0" w:type="dxa"/>
            <w:left w:w="108" w:type="dxa"/>
            <w:bottom w:w="0" w:type="dxa"/>
            <w:right w:w="108" w:type="dxa"/>
          </w:tblCellMar>
        </w:tblPrEx>
        <w:trPr>
          <w:trHeight w:val="385"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门急诊有方便于老年人查询的医疗信息公示（1分）</w:t>
            </w:r>
          </w:p>
        </w:tc>
      </w:tr>
      <w:tr>
        <w:tblPrEx>
          <w:tblCellMar>
            <w:top w:w="0" w:type="dxa"/>
            <w:left w:w="108" w:type="dxa"/>
            <w:bottom w:w="0" w:type="dxa"/>
            <w:right w:w="108" w:type="dxa"/>
          </w:tblCellMar>
        </w:tblPrEx>
        <w:trPr>
          <w:trHeight w:val="54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社会工作与志愿者服务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有专职社会工作者和/或医务社工为老年人开展服务的相关规章制度，并承担老年人服务相关职责（2分）</w:t>
            </w:r>
          </w:p>
        </w:tc>
      </w:tr>
      <w:tr>
        <w:tblPrEx>
          <w:tblCellMar>
            <w:top w:w="0" w:type="dxa"/>
            <w:left w:w="108" w:type="dxa"/>
            <w:bottom w:w="0" w:type="dxa"/>
            <w:right w:w="108" w:type="dxa"/>
          </w:tblCellMar>
        </w:tblPrEx>
        <w:trPr>
          <w:trHeight w:val="90" w:hRule="atLeast"/>
          <w:jc w:val="center"/>
        </w:trPr>
        <w:tc>
          <w:tcPr>
            <w:tcW w:w="1952"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有为老年人提供导医、陪伴等志愿服务，志愿者中有65岁及以上老年志愿者的积极参与（2分 ）</w:t>
            </w:r>
          </w:p>
        </w:tc>
      </w:tr>
      <w:tr>
        <w:tblPrEx>
          <w:tblCellMar>
            <w:top w:w="0" w:type="dxa"/>
            <w:left w:w="108" w:type="dxa"/>
            <w:bottom w:w="0" w:type="dxa"/>
            <w:right w:w="108" w:type="dxa"/>
          </w:tblCellMar>
        </w:tblPrEx>
        <w:trPr>
          <w:trHeight w:val="591" w:hRule="atLeast"/>
          <w:jc w:val="center"/>
        </w:trPr>
        <w:tc>
          <w:tcPr>
            <w:tcW w:w="195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老年友善管理</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（15分）</w:t>
            </w: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保障机制</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有老年友善管理相关规章制度和自我评价机制（1分）</w:t>
            </w:r>
          </w:p>
        </w:tc>
      </w:tr>
      <w:tr>
        <w:tblPrEx>
          <w:tblCellMar>
            <w:top w:w="0" w:type="dxa"/>
            <w:left w:w="108" w:type="dxa"/>
            <w:bottom w:w="0" w:type="dxa"/>
            <w:right w:w="108" w:type="dxa"/>
          </w:tblCellMar>
        </w:tblPrEx>
        <w:trPr>
          <w:trHeight w:val="54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有年度工作计划、总结、督导检查记录和整改措施（2分）</w:t>
            </w:r>
          </w:p>
        </w:tc>
      </w:tr>
      <w:tr>
        <w:tblPrEx>
          <w:tblCellMar>
            <w:top w:w="0" w:type="dxa"/>
            <w:left w:w="108" w:type="dxa"/>
            <w:bottom w:w="0" w:type="dxa"/>
            <w:right w:w="108" w:type="dxa"/>
          </w:tblCellMar>
        </w:tblPrEx>
        <w:trPr>
          <w:trHeight w:val="54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有落实老年友善医疗机构建设的专项经费（1分）</w:t>
            </w:r>
          </w:p>
        </w:tc>
      </w:tr>
      <w:tr>
        <w:tblPrEx>
          <w:tblCellMar>
            <w:top w:w="0" w:type="dxa"/>
            <w:left w:w="108" w:type="dxa"/>
            <w:bottom w:w="0" w:type="dxa"/>
            <w:right w:w="108" w:type="dxa"/>
          </w:tblCellMar>
        </w:tblPrEx>
        <w:trPr>
          <w:trHeight w:val="30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制度与培训</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有老年医学特点的管理制度，包括老年综合评估、老年病多学科整合管理（MDT）、老年综合征和老年照护问题评估及干预等内容（3分）</w:t>
            </w:r>
          </w:p>
        </w:tc>
      </w:tr>
      <w:tr>
        <w:tblPrEx>
          <w:tblCellMar>
            <w:top w:w="0" w:type="dxa"/>
            <w:left w:w="108" w:type="dxa"/>
            <w:bottom w:w="0" w:type="dxa"/>
            <w:right w:w="108" w:type="dxa"/>
          </w:tblCellMar>
        </w:tblPrEx>
        <w:trPr>
          <w:trHeight w:val="30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有涉老科研项目的医学伦理审查制度（1分）</w:t>
            </w:r>
          </w:p>
        </w:tc>
      </w:tr>
      <w:tr>
        <w:tblPrEx>
          <w:tblCellMar>
            <w:top w:w="0" w:type="dxa"/>
            <w:left w:w="108" w:type="dxa"/>
            <w:bottom w:w="0" w:type="dxa"/>
            <w:right w:w="108" w:type="dxa"/>
          </w:tblCellMar>
        </w:tblPrEx>
        <w:trPr>
          <w:trHeight w:val="53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有老年友善医疗机构建设的全员宣传教育和培训相关措施(1分) </w:t>
            </w:r>
          </w:p>
        </w:tc>
      </w:tr>
      <w:tr>
        <w:tblPrEx>
          <w:tblCellMar>
            <w:top w:w="0" w:type="dxa"/>
            <w:left w:w="108" w:type="dxa"/>
            <w:bottom w:w="0" w:type="dxa"/>
            <w:right w:w="108" w:type="dxa"/>
          </w:tblCellMar>
        </w:tblPrEx>
        <w:trPr>
          <w:trHeight w:val="30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开展老年医学和老年护理相关专业知识和技能的培训（1分）</w:t>
            </w:r>
          </w:p>
        </w:tc>
      </w:tr>
      <w:tr>
        <w:tblPrEx>
          <w:tblCellMar>
            <w:top w:w="0" w:type="dxa"/>
            <w:left w:w="108" w:type="dxa"/>
            <w:bottom w:w="0" w:type="dxa"/>
            <w:right w:w="108" w:type="dxa"/>
          </w:tblCellMar>
        </w:tblPrEx>
        <w:trPr>
          <w:trHeight w:val="30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开展老年心理学、社会学、沟通交流技巧等方面的培训（1分）</w:t>
            </w:r>
          </w:p>
        </w:tc>
      </w:tr>
      <w:tr>
        <w:tblPrEx>
          <w:tblCellMar>
            <w:top w:w="0" w:type="dxa"/>
            <w:left w:w="108" w:type="dxa"/>
            <w:bottom w:w="0" w:type="dxa"/>
            <w:right w:w="108" w:type="dxa"/>
          </w:tblCellMar>
        </w:tblPrEx>
        <w:trPr>
          <w:trHeight w:val="53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有为老年人提供防疫安全及就诊绿色通道指导的相关制度（1分）</w:t>
            </w:r>
          </w:p>
        </w:tc>
      </w:tr>
      <w:tr>
        <w:tblPrEx>
          <w:tblCellMar>
            <w:top w:w="0" w:type="dxa"/>
            <w:left w:w="108" w:type="dxa"/>
            <w:bottom w:w="0" w:type="dxa"/>
            <w:right w:w="108" w:type="dxa"/>
          </w:tblCellMar>
        </w:tblPrEx>
        <w:trPr>
          <w:trHeight w:val="42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分级诊疗和</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转诊（3分）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有老年人转诊管理的部门和相关规章制度，并有相关实施记录（1分）</w:t>
            </w:r>
          </w:p>
        </w:tc>
      </w:tr>
      <w:tr>
        <w:tblPrEx>
          <w:tblCellMar>
            <w:top w:w="0" w:type="dxa"/>
            <w:left w:w="108" w:type="dxa"/>
            <w:bottom w:w="0" w:type="dxa"/>
            <w:right w:w="108" w:type="dxa"/>
          </w:tblCellMar>
        </w:tblPrEx>
        <w:trPr>
          <w:trHeight w:val="42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参与区域医联体、医养联合体的建设（1分）</w:t>
            </w:r>
          </w:p>
        </w:tc>
      </w:tr>
      <w:tr>
        <w:tblPrEx>
          <w:tblCellMar>
            <w:top w:w="0" w:type="dxa"/>
            <w:left w:w="108" w:type="dxa"/>
            <w:bottom w:w="0" w:type="dxa"/>
            <w:right w:w="108" w:type="dxa"/>
          </w:tblCellMar>
        </w:tblPrEx>
        <w:trPr>
          <w:trHeight w:val="420" w:hRule="atLeast"/>
          <w:jc w:val="center"/>
        </w:trPr>
        <w:tc>
          <w:tcPr>
            <w:tcW w:w="1952"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建立与养老机构或社区卫生服务机构之间双向转诊的流程与规范，有合作协议，并按协议提供服务（1分）</w:t>
            </w:r>
          </w:p>
        </w:tc>
      </w:tr>
      <w:tr>
        <w:tblPrEx>
          <w:tblCellMar>
            <w:top w:w="0" w:type="dxa"/>
            <w:left w:w="108" w:type="dxa"/>
            <w:bottom w:w="0" w:type="dxa"/>
            <w:right w:w="108" w:type="dxa"/>
          </w:tblCellMar>
        </w:tblPrEx>
        <w:trPr>
          <w:trHeight w:val="563" w:hRule="atLeast"/>
          <w:jc w:val="center"/>
        </w:trPr>
        <w:tc>
          <w:tcPr>
            <w:tcW w:w="195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老年友善服务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（综合医院、康复医院、护理院适用）</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（40分）</w:t>
            </w: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老年医学科</w:t>
            </w:r>
            <w:r>
              <w:rPr>
                <w:rFonts w:hint="eastAsia" w:ascii="仿宋_GB2312" w:hAnsi="仿宋_GB2312" w:eastAsia="仿宋_GB2312" w:cs="仿宋_GB2312"/>
                <w:kern w:val="0"/>
                <w:sz w:val="28"/>
                <w:szCs w:val="28"/>
                <w:lang w:eastAsia="zh-CN"/>
              </w:rPr>
              <w:t>设置</w:t>
            </w:r>
            <w:r>
              <w:rPr>
                <w:rFonts w:hint="eastAsia" w:ascii="仿宋_GB2312" w:hAnsi="仿宋_GB2312" w:eastAsia="仿宋_GB2312" w:cs="仿宋_GB2312"/>
                <w:kern w:val="0"/>
                <w:sz w:val="28"/>
                <w:szCs w:val="28"/>
              </w:rPr>
              <w:t>（4分）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独立设置老年医学科（1分）</w:t>
            </w:r>
          </w:p>
        </w:tc>
      </w:tr>
      <w:tr>
        <w:tblPrEx>
          <w:tblCellMar>
            <w:top w:w="0" w:type="dxa"/>
            <w:left w:w="108" w:type="dxa"/>
            <w:bottom w:w="0" w:type="dxa"/>
            <w:right w:w="108" w:type="dxa"/>
          </w:tblCellMar>
        </w:tblPrEx>
        <w:trPr>
          <w:trHeight w:val="562"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有老年专科服务门诊、病房和综合评估室（3分）</w:t>
            </w:r>
          </w:p>
        </w:tc>
      </w:tr>
      <w:tr>
        <w:tblPrEx>
          <w:tblCellMar>
            <w:top w:w="0" w:type="dxa"/>
            <w:left w:w="108" w:type="dxa"/>
            <w:bottom w:w="0" w:type="dxa"/>
            <w:right w:w="108" w:type="dxa"/>
          </w:tblCellMar>
        </w:tblPrEx>
        <w:trPr>
          <w:trHeight w:val="51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老年人智能</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产品使用</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机构入口增设老年患者“无健康码”绿色通道，为没有手机或确实无法提供健康码的老年人提供就医指导和便利（1分）</w:t>
            </w:r>
          </w:p>
        </w:tc>
      </w:tr>
      <w:tr>
        <w:tblPrEx>
          <w:tblCellMar>
            <w:top w:w="0" w:type="dxa"/>
            <w:left w:w="108" w:type="dxa"/>
            <w:bottom w:w="0" w:type="dxa"/>
            <w:right w:w="108" w:type="dxa"/>
          </w:tblCellMar>
        </w:tblPrEx>
        <w:trPr>
          <w:trHeight w:val="51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在自助挂号、自助打印检验检查报告、自助交费等</w:t>
            </w:r>
            <w:r>
              <w:rPr>
                <w:rFonts w:hint="eastAsia" w:ascii="仿宋_GB2312" w:hAnsi="仿宋_GB2312" w:eastAsia="仿宋_GB2312" w:cs="仿宋_GB2312"/>
                <w:kern w:val="0"/>
                <w:sz w:val="28"/>
                <w:szCs w:val="28"/>
                <w:lang w:eastAsia="zh-CN"/>
              </w:rPr>
              <w:t>智能</w:t>
            </w:r>
            <w:r>
              <w:rPr>
                <w:rFonts w:hint="eastAsia" w:ascii="仿宋_GB2312" w:hAnsi="仿宋_GB2312" w:eastAsia="仿宋_GB2312" w:cs="仿宋_GB2312"/>
                <w:kern w:val="0"/>
                <w:sz w:val="28"/>
                <w:szCs w:val="28"/>
              </w:rPr>
              <w:t>化设施设备前有专人提供指导服务（2分）</w:t>
            </w:r>
          </w:p>
        </w:tc>
      </w:tr>
      <w:tr>
        <w:tblPrEx>
          <w:tblCellMar>
            <w:top w:w="0" w:type="dxa"/>
            <w:left w:w="108" w:type="dxa"/>
            <w:bottom w:w="0" w:type="dxa"/>
            <w:right w:w="108" w:type="dxa"/>
          </w:tblCellMar>
        </w:tblPrEx>
        <w:trPr>
          <w:trHeight w:val="279"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就医便利服务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开通家人、亲友、家庭医生代为老年人预约挂号的渠道，门诊挂号窗口为老年人预留一定比例现场号源，方便老年人就医（1分）</w:t>
            </w:r>
          </w:p>
        </w:tc>
      </w:tr>
      <w:tr>
        <w:tblPrEx>
          <w:tblCellMar>
            <w:top w:w="0" w:type="dxa"/>
            <w:left w:w="108" w:type="dxa"/>
            <w:bottom w:w="0" w:type="dxa"/>
            <w:right w:w="108" w:type="dxa"/>
          </w:tblCellMar>
        </w:tblPrEx>
        <w:trPr>
          <w:trHeight w:val="27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设有人工窗口及人工服务设施，有方便老年人就医的门、急诊服务流程（1分）</w:t>
            </w:r>
          </w:p>
        </w:tc>
      </w:tr>
      <w:tr>
        <w:tblPrEx>
          <w:tblCellMar>
            <w:top w:w="0" w:type="dxa"/>
            <w:left w:w="108" w:type="dxa"/>
            <w:bottom w:w="0" w:type="dxa"/>
            <w:right w:w="108" w:type="dxa"/>
          </w:tblCellMar>
        </w:tblPrEx>
        <w:trPr>
          <w:trHeight w:val="27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门急诊主动为失能、半失能、高龄老年人提供优先、导医、就医绿色通道等服务（3分）</w:t>
            </w:r>
          </w:p>
        </w:tc>
      </w:tr>
      <w:tr>
        <w:tblPrEx>
          <w:tblCellMar>
            <w:top w:w="0" w:type="dxa"/>
            <w:left w:w="108" w:type="dxa"/>
            <w:bottom w:w="0" w:type="dxa"/>
            <w:right w:w="108" w:type="dxa"/>
          </w:tblCellMar>
        </w:tblPrEx>
        <w:trPr>
          <w:trHeight w:val="27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在门急诊、住院病区给老年人提供轮椅、平车等便民服务（1分）</w:t>
            </w:r>
          </w:p>
        </w:tc>
      </w:tr>
      <w:tr>
        <w:tblPrEx>
          <w:tblCellMar>
            <w:top w:w="0" w:type="dxa"/>
            <w:left w:w="108" w:type="dxa"/>
            <w:bottom w:w="0" w:type="dxa"/>
            <w:right w:w="108" w:type="dxa"/>
          </w:tblCellMar>
        </w:tblPrEx>
        <w:trPr>
          <w:trHeight w:val="45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为老年人制定出院计划，为失能、失智老年人出院安排机构连接服务（1分）</w:t>
            </w:r>
          </w:p>
        </w:tc>
      </w:tr>
      <w:tr>
        <w:tblPrEx>
          <w:tblCellMar>
            <w:top w:w="0" w:type="dxa"/>
            <w:left w:w="108" w:type="dxa"/>
            <w:bottom w:w="0" w:type="dxa"/>
            <w:right w:w="108" w:type="dxa"/>
          </w:tblCellMar>
        </w:tblPrEx>
        <w:trPr>
          <w:trHeight w:val="302"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老年综合评</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估与干预</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开展老年综合评估服务并在病历上体现（2分）</w:t>
            </w:r>
          </w:p>
        </w:tc>
      </w:tr>
      <w:tr>
        <w:tblPrEx>
          <w:tblCellMar>
            <w:top w:w="0" w:type="dxa"/>
            <w:left w:w="108" w:type="dxa"/>
            <w:bottom w:w="0" w:type="dxa"/>
            <w:right w:w="108" w:type="dxa"/>
          </w:tblCellMar>
        </w:tblPrEx>
        <w:trPr>
          <w:trHeight w:val="2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开展多学科整合管理服务（1分）</w:t>
            </w:r>
          </w:p>
        </w:tc>
      </w:tr>
      <w:tr>
        <w:tblPrEx>
          <w:tblCellMar>
            <w:top w:w="0" w:type="dxa"/>
            <w:left w:w="108" w:type="dxa"/>
            <w:bottom w:w="0" w:type="dxa"/>
            <w:right w:w="108" w:type="dxa"/>
          </w:tblCellMar>
        </w:tblPrEx>
        <w:trPr>
          <w:trHeight w:val="2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提供临床药学咨询服务（1分）</w:t>
            </w:r>
          </w:p>
        </w:tc>
      </w:tr>
      <w:tr>
        <w:tblPrEx>
          <w:tblCellMar>
            <w:top w:w="0" w:type="dxa"/>
            <w:left w:w="108" w:type="dxa"/>
            <w:bottom w:w="0" w:type="dxa"/>
            <w:right w:w="108" w:type="dxa"/>
          </w:tblCellMar>
        </w:tblPrEx>
        <w:trPr>
          <w:trHeight w:val="2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提供老年营养服务（1分）</w:t>
            </w:r>
          </w:p>
        </w:tc>
      </w:tr>
      <w:tr>
        <w:tblPrEx>
          <w:tblCellMar>
            <w:top w:w="0" w:type="dxa"/>
            <w:left w:w="108" w:type="dxa"/>
            <w:bottom w:w="0" w:type="dxa"/>
            <w:right w:w="108" w:type="dxa"/>
          </w:tblCellMar>
        </w:tblPrEx>
        <w:trPr>
          <w:trHeight w:val="2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对住院老年人进行高风险状态的筛查，尤其是对跌倒、肺栓塞、误吸和坠床等情况，应建立风险防范措施与应急处置方案（1分）</w:t>
            </w:r>
          </w:p>
        </w:tc>
      </w:tr>
      <w:tr>
        <w:tblPrEx>
          <w:tblCellMar>
            <w:top w:w="0" w:type="dxa"/>
            <w:left w:w="108" w:type="dxa"/>
            <w:bottom w:w="0" w:type="dxa"/>
            <w:right w:w="108" w:type="dxa"/>
          </w:tblCellMar>
        </w:tblPrEx>
        <w:trPr>
          <w:trHeight w:val="2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建立评估知情告知制度，告知内容应包括评估结果、影响因素和照护计划等（1分）</w:t>
            </w:r>
          </w:p>
        </w:tc>
      </w:tr>
      <w:tr>
        <w:tblPrEx>
          <w:tblCellMar>
            <w:top w:w="0" w:type="dxa"/>
            <w:left w:w="108" w:type="dxa"/>
            <w:bottom w:w="0" w:type="dxa"/>
            <w:right w:w="108" w:type="dxa"/>
          </w:tblCellMar>
        </w:tblPrEx>
        <w:trPr>
          <w:trHeight w:val="2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老年人及其家属参与诊疗与照护计划的制定（1分）</w:t>
            </w:r>
          </w:p>
        </w:tc>
      </w:tr>
      <w:tr>
        <w:tblPrEx>
          <w:tblCellMar>
            <w:top w:w="0" w:type="dxa"/>
            <w:left w:w="108" w:type="dxa"/>
            <w:bottom w:w="0" w:type="dxa"/>
            <w:right w:w="108" w:type="dxa"/>
          </w:tblCellMar>
        </w:tblPrEx>
        <w:trPr>
          <w:trHeight w:val="74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对失独、空巢、独居等特殊老年群体，制定持续照护计划，建立预立医嘱和监护人签约制度；在这些患者遇到手术等特殊情况时，监护人能及时发挥作用（1分）</w:t>
            </w:r>
          </w:p>
        </w:tc>
      </w:tr>
      <w:tr>
        <w:tblPrEx>
          <w:tblCellMar>
            <w:top w:w="0" w:type="dxa"/>
            <w:left w:w="108" w:type="dxa"/>
            <w:bottom w:w="0" w:type="dxa"/>
            <w:right w:w="108" w:type="dxa"/>
          </w:tblCellMar>
        </w:tblPrEx>
        <w:trPr>
          <w:trHeight w:val="72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老年综合征</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管理</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有老年痴呆、抑郁、吞咽困难、尿失禁、便秘和睡眠障碍等常见老年综合征的规范化评估与干预服务（5分）</w:t>
            </w:r>
          </w:p>
        </w:tc>
      </w:tr>
      <w:tr>
        <w:tblPrEx>
          <w:tblCellMar>
            <w:top w:w="0" w:type="dxa"/>
            <w:left w:w="108" w:type="dxa"/>
            <w:bottom w:w="0" w:type="dxa"/>
            <w:right w:w="108" w:type="dxa"/>
          </w:tblCellMar>
        </w:tblPrEx>
        <w:trPr>
          <w:trHeight w:val="72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有老年人多重用药、营养不良、慢性伤口（包括褥疮）和下肢深静脉血栓等老年常见照护问题的评估与干预服务（4分）</w:t>
            </w:r>
          </w:p>
        </w:tc>
      </w:tr>
      <w:tr>
        <w:tblPrEx>
          <w:tblCellMar>
            <w:top w:w="0" w:type="dxa"/>
            <w:left w:w="108" w:type="dxa"/>
            <w:bottom w:w="0" w:type="dxa"/>
            <w:right w:w="108" w:type="dxa"/>
          </w:tblCellMar>
        </w:tblPrEx>
        <w:trPr>
          <w:trHeight w:val="62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老年专科服务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为老年患者提供慢性伤口护理、管路维护等专科护理服务（2分）</w:t>
            </w:r>
          </w:p>
        </w:tc>
      </w:tr>
      <w:tr>
        <w:tblPrEx>
          <w:tblCellMar>
            <w:top w:w="0" w:type="dxa"/>
            <w:left w:w="108" w:type="dxa"/>
            <w:bottom w:w="0" w:type="dxa"/>
            <w:right w:w="108" w:type="dxa"/>
          </w:tblCellMar>
        </w:tblPrEx>
        <w:trPr>
          <w:trHeight w:val="352"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提供住院康复和日间康复等服务（2分）</w:t>
            </w:r>
          </w:p>
        </w:tc>
      </w:tr>
      <w:tr>
        <w:tblPrEx>
          <w:tblCellMar>
            <w:top w:w="0" w:type="dxa"/>
            <w:left w:w="108" w:type="dxa"/>
            <w:bottom w:w="0" w:type="dxa"/>
            <w:right w:w="108" w:type="dxa"/>
          </w:tblCellMar>
        </w:tblPrEx>
        <w:trPr>
          <w:trHeight w:val="50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提供与养老机构、社区卫生服务机构合作的老年长期照护服务（2分）</w:t>
            </w:r>
          </w:p>
        </w:tc>
      </w:tr>
      <w:tr>
        <w:tblPrEx>
          <w:tblCellMar>
            <w:top w:w="0" w:type="dxa"/>
            <w:left w:w="108" w:type="dxa"/>
            <w:bottom w:w="0" w:type="dxa"/>
            <w:right w:w="108" w:type="dxa"/>
          </w:tblCellMar>
        </w:tblPrEx>
        <w:trPr>
          <w:trHeight w:val="240" w:hRule="atLeast"/>
          <w:jc w:val="center"/>
        </w:trPr>
        <w:tc>
          <w:tcPr>
            <w:tcW w:w="1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为老年人及其家属开展死亡教育活动，为临终患者提供舒缓治疗与临终关怀服务（2分）</w:t>
            </w:r>
          </w:p>
        </w:tc>
      </w:tr>
      <w:tr>
        <w:tblPrEx>
          <w:tblCellMar>
            <w:top w:w="0" w:type="dxa"/>
            <w:left w:w="108" w:type="dxa"/>
            <w:bottom w:w="0" w:type="dxa"/>
            <w:right w:w="108" w:type="dxa"/>
          </w:tblCellMar>
        </w:tblPrEx>
        <w:trPr>
          <w:trHeight w:val="160" w:hRule="atLeast"/>
          <w:jc w:val="center"/>
        </w:trPr>
        <w:tc>
          <w:tcPr>
            <w:tcW w:w="195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老年友善服务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（中</w:t>
            </w:r>
            <w:r>
              <w:rPr>
                <w:rFonts w:hint="eastAsia" w:ascii="仿宋_GB2312" w:hAnsi="仿宋_GB2312" w:eastAsia="仿宋_GB2312" w:cs="仿宋_GB2312"/>
                <w:color w:val="000000"/>
                <w:kern w:val="0"/>
                <w:sz w:val="28"/>
                <w:szCs w:val="28"/>
                <w:lang w:eastAsia="zh-CN"/>
              </w:rPr>
              <w:t>医</w:t>
            </w:r>
            <w:r>
              <w:rPr>
                <w:rFonts w:hint="eastAsia" w:ascii="仿宋_GB2312" w:hAnsi="仿宋_GB2312" w:eastAsia="仿宋_GB2312" w:cs="仿宋_GB2312"/>
                <w:color w:val="000000"/>
                <w:kern w:val="0"/>
                <w:sz w:val="28"/>
                <w:szCs w:val="28"/>
              </w:rPr>
              <w:t>医院、中西医结合医院适用）</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（40分）</w:t>
            </w: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老年医学科</w:t>
            </w:r>
            <w:r>
              <w:rPr>
                <w:rFonts w:hint="eastAsia" w:ascii="仿宋_GB2312" w:hAnsi="仿宋_GB2312" w:eastAsia="仿宋_GB2312" w:cs="仿宋_GB2312"/>
                <w:color w:val="000000"/>
                <w:kern w:val="0"/>
                <w:sz w:val="28"/>
                <w:szCs w:val="28"/>
                <w:lang w:eastAsia="zh-CN"/>
              </w:rPr>
              <w:t>建设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（4分）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设置独立的老年医学科（1分）</w:t>
            </w:r>
          </w:p>
        </w:tc>
      </w:tr>
      <w:tr>
        <w:tblPrEx>
          <w:tblCellMar>
            <w:top w:w="0" w:type="dxa"/>
            <w:left w:w="108" w:type="dxa"/>
            <w:bottom w:w="0" w:type="dxa"/>
            <w:right w:w="108" w:type="dxa"/>
          </w:tblCellMar>
        </w:tblPrEx>
        <w:trPr>
          <w:trHeight w:val="62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具备中医及或中西医结合类别执业资格的医师和老年护理专科护士（1分）</w:t>
            </w:r>
          </w:p>
        </w:tc>
      </w:tr>
      <w:tr>
        <w:tblPrEx>
          <w:tblCellMar>
            <w:top w:w="0" w:type="dxa"/>
            <w:left w:w="108" w:type="dxa"/>
            <w:bottom w:w="0" w:type="dxa"/>
            <w:right w:w="108" w:type="dxa"/>
          </w:tblCellMar>
        </w:tblPrEx>
        <w:trPr>
          <w:trHeight w:val="54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有老年专科服务的中医特色</w:t>
            </w:r>
            <w:r>
              <w:rPr>
                <w:rFonts w:hint="eastAsia" w:ascii="仿宋_GB2312" w:hAnsi="仿宋_GB2312" w:eastAsia="仿宋_GB2312" w:cs="仿宋_GB2312"/>
                <w:kern w:val="0"/>
                <w:sz w:val="28"/>
                <w:szCs w:val="28"/>
                <w:lang w:eastAsia="zh-CN"/>
              </w:rPr>
              <w:t>门诊、</w:t>
            </w:r>
            <w:r>
              <w:rPr>
                <w:rFonts w:hint="eastAsia" w:ascii="仿宋_GB2312" w:hAnsi="仿宋_GB2312" w:eastAsia="仿宋_GB2312" w:cs="仿宋_GB2312"/>
                <w:kern w:val="0"/>
                <w:sz w:val="28"/>
                <w:szCs w:val="28"/>
              </w:rPr>
              <w:t>病房、中医特色综合评估室（2分）</w:t>
            </w:r>
          </w:p>
        </w:tc>
      </w:tr>
      <w:tr>
        <w:tblPrEx>
          <w:tblCellMar>
            <w:top w:w="0" w:type="dxa"/>
            <w:left w:w="108" w:type="dxa"/>
            <w:bottom w:w="0" w:type="dxa"/>
            <w:right w:w="108" w:type="dxa"/>
          </w:tblCellMar>
        </w:tblPrEx>
        <w:trPr>
          <w:trHeight w:val="48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老年人智能</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产品使用</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（3分）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机构入口增设老年患者“无健康码”绿色通道，为没有手机或确实无法提供健康码的老年人提供就医指导和便利服务（1分）</w:t>
            </w:r>
          </w:p>
        </w:tc>
      </w:tr>
      <w:tr>
        <w:tblPrEx>
          <w:tblCellMar>
            <w:top w:w="0" w:type="dxa"/>
            <w:left w:w="108" w:type="dxa"/>
            <w:bottom w:w="0" w:type="dxa"/>
            <w:right w:w="108" w:type="dxa"/>
          </w:tblCellMar>
        </w:tblPrEx>
        <w:trPr>
          <w:trHeight w:val="48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在自助挂号、自助打印检验检查报告、自助交费等现代化设施设备前有专人提供指导服务（2分）</w:t>
            </w:r>
          </w:p>
        </w:tc>
      </w:tr>
      <w:tr>
        <w:tblPrEx>
          <w:tblCellMar>
            <w:top w:w="0" w:type="dxa"/>
            <w:left w:w="108" w:type="dxa"/>
            <w:bottom w:w="0" w:type="dxa"/>
            <w:right w:w="108" w:type="dxa"/>
          </w:tblCellMar>
        </w:tblPrEx>
        <w:trPr>
          <w:trHeight w:val="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就医便利服务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（7分）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开通家人、亲友、家庭医生代为老年人预约挂号的渠道，门诊挂号窗口为老年人预留一定比例现场号源，方便老年人就医（1分）</w:t>
            </w:r>
          </w:p>
        </w:tc>
      </w:tr>
      <w:tr>
        <w:tblPrEx>
          <w:tblCellMar>
            <w:top w:w="0" w:type="dxa"/>
            <w:left w:w="108" w:type="dxa"/>
            <w:bottom w:w="0" w:type="dxa"/>
            <w:right w:w="108" w:type="dxa"/>
          </w:tblCellMar>
        </w:tblPrEx>
        <w:trPr>
          <w:trHeight w:val="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设有人工窗口及人工服务设施，有方便老年人就医的门、急诊服务流程（1分）</w:t>
            </w:r>
          </w:p>
        </w:tc>
      </w:tr>
      <w:tr>
        <w:tblPrEx>
          <w:tblCellMar>
            <w:top w:w="0" w:type="dxa"/>
            <w:left w:w="108" w:type="dxa"/>
            <w:bottom w:w="0" w:type="dxa"/>
            <w:right w:w="108" w:type="dxa"/>
          </w:tblCellMar>
        </w:tblPrEx>
        <w:trPr>
          <w:trHeight w:val="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门急诊主动为失能、半失能、高龄老年人提供优先和导医服务及绿色通道（3分）</w:t>
            </w:r>
          </w:p>
        </w:tc>
      </w:tr>
      <w:tr>
        <w:tblPrEx>
          <w:tblCellMar>
            <w:top w:w="0" w:type="dxa"/>
            <w:left w:w="108" w:type="dxa"/>
            <w:bottom w:w="0" w:type="dxa"/>
            <w:right w:w="108" w:type="dxa"/>
          </w:tblCellMar>
        </w:tblPrEx>
        <w:trPr>
          <w:trHeight w:val="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在门急诊、住院病区给老年人提供轮椅、平车等便民服务（1分）</w:t>
            </w:r>
          </w:p>
        </w:tc>
      </w:tr>
      <w:tr>
        <w:tblPrEx>
          <w:tblCellMar>
            <w:top w:w="0" w:type="dxa"/>
            <w:left w:w="108" w:type="dxa"/>
            <w:bottom w:w="0" w:type="dxa"/>
            <w:right w:w="108" w:type="dxa"/>
          </w:tblCellMar>
        </w:tblPrEx>
        <w:trPr>
          <w:trHeight w:val="53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为老年人制定出院计划，为失能、失智老年人出院安排机构连接服务（1分）</w:t>
            </w:r>
          </w:p>
        </w:tc>
      </w:tr>
      <w:tr>
        <w:tblPrEx>
          <w:tblCellMar>
            <w:top w:w="0" w:type="dxa"/>
            <w:left w:w="108" w:type="dxa"/>
            <w:bottom w:w="0" w:type="dxa"/>
            <w:right w:w="108" w:type="dxa"/>
          </w:tblCellMar>
        </w:tblPrEx>
        <w:trPr>
          <w:trHeight w:val="12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老年综合评</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估与干预</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开展老年综合评估服务并在病历上体现；病历中要体现中医辨证论治、四诊合参、理法方药一致性（2分）</w:t>
            </w:r>
          </w:p>
        </w:tc>
      </w:tr>
      <w:tr>
        <w:tblPrEx>
          <w:tblCellMar>
            <w:top w:w="0" w:type="dxa"/>
            <w:left w:w="108" w:type="dxa"/>
            <w:bottom w:w="0" w:type="dxa"/>
            <w:right w:w="108" w:type="dxa"/>
          </w:tblCellMar>
        </w:tblPrEx>
        <w:trPr>
          <w:trHeight w:val="56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开展具有中西医特色的多学科整合管理服务（1分）</w:t>
            </w:r>
          </w:p>
        </w:tc>
      </w:tr>
      <w:tr>
        <w:tblPrEx>
          <w:tblCellMar>
            <w:top w:w="0" w:type="dxa"/>
            <w:left w:w="108" w:type="dxa"/>
            <w:bottom w:w="0" w:type="dxa"/>
            <w:right w:w="108" w:type="dxa"/>
          </w:tblCellMar>
        </w:tblPrEx>
        <w:trPr>
          <w:trHeight w:val="121"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提供临床药学（含中药）咨询服务（1分）</w:t>
            </w:r>
          </w:p>
        </w:tc>
      </w:tr>
      <w:tr>
        <w:tblPrEx>
          <w:tblCellMar>
            <w:top w:w="0" w:type="dxa"/>
            <w:left w:w="108" w:type="dxa"/>
            <w:bottom w:w="0" w:type="dxa"/>
            <w:right w:w="108" w:type="dxa"/>
          </w:tblCellMar>
        </w:tblPrEx>
        <w:trPr>
          <w:trHeight w:val="121"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提供老年营养服务及中医药膳服务（1分）</w:t>
            </w:r>
          </w:p>
        </w:tc>
      </w:tr>
      <w:tr>
        <w:tblPrEx>
          <w:tblCellMar>
            <w:top w:w="0" w:type="dxa"/>
            <w:left w:w="108" w:type="dxa"/>
            <w:bottom w:w="0" w:type="dxa"/>
            <w:right w:w="108" w:type="dxa"/>
          </w:tblCellMar>
        </w:tblPrEx>
        <w:trPr>
          <w:trHeight w:val="121"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对住院老年人进行高风险状态的筛查，尤其是对跌倒、肺栓塞、误吸和坠床等情况，应建立风险防范措施与应急处置方案（1分）</w:t>
            </w:r>
          </w:p>
        </w:tc>
      </w:tr>
      <w:tr>
        <w:tblPrEx>
          <w:tblCellMar>
            <w:top w:w="0" w:type="dxa"/>
            <w:left w:w="108" w:type="dxa"/>
            <w:bottom w:w="0" w:type="dxa"/>
            <w:right w:w="108" w:type="dxa"/>
          </w:tblCellMar>
        </w:tblPrEx>
        <w:trPr>
          <w:trHeight w:val="803"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建立评估知情告知制度，告知内容应包括评估结果、影响因素和照护计划等，其中照护计划应突出中医护理优势，体现辨证施护内容（1分）</w:t>
            </w:r>
          </w:p>
        </w:tc>
      </w:tr>
      <w:tr>
        <w:tblPrEx>
          <w:tblCellMar>
            <w:top w:w="0" w:type="dxa"/>
            <w:left w:w="108" w:type="dxa"/>
            <w:bottom w:w="0" w:type="dxa"/>
            <w:right w:w="108" w:type="dxa"/>
          </w:tblCellMar>
        </w:tblPrEx>
        <w:trPr>
          <w:trHeight w:val="50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老年人及其家属参与诊疗与照护计划的制定（1分）</w:t>
            </w:r>
          </w:p>
        </w:tc>
      </w:tr>
      <w:tr>
        <w:tblPrEx>
          <w:tblCellMar>
            <w:top w:w="0" w:type="dxa"/>
            <w:left w:w="108" w:type="dxa"/>
            <w:bottom w:w="0" w:type="dxa"/>
            <w:right w:w="108" w:type="dxa"/>
          </w:tblCellMar>
        </w:tblPrEx>
        <w:trPr>
          <w:trHeight w:val="89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对失独、空巢、独居等特殊老年群体，制定持续照护计划，建立预立医嘱和监护人签约制度；在这些患者遇到手术等特殊情况时，监护人能及时发挥作用（1分）</w:t>
            </w:r>
          </w:p>
        </w:tc>
      </w:tr>
      <w:tr>
        <w:tblPrEx>
          <w:tblCellMar>
            <w:top w:w="0" w:type="dxa"/>
            <w:left w:w="108" w:type="dxa"/>
            <w:bottom w:w="0" w:type="dxa"/>
            <w:right w:w="108" w:type="dxa"/>
          </w:tblCellMar>
        </w:tblPrEx>
        <w:trPr>
          <w:trHeight w:val="48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老年综合征</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管理服务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（9分）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有中医老年人痴呆、抑郁、吞咽困难、尿失禁、便秘和睡眠障碍等常见老年综合征的规范化评估与干预服务（5分）</w:t>
            </w:r>
          </w:p>
        </w:tc>
      </w:tr>
      <w:tr>
        <w:tblPrEx>
          <w:tblCellMar>
            <w:top w:w="0" w:type="dxa"/>
            <w:left w:w="108" w:type="dxa"/>
            <w:bottom w:w="0" w:type="dxa"/>
            <w:right w:w="108" w:type="dxa"/>
          </w:tblCellMar>
        </w:tblPrEx>
        <w:trPr>
          <w:trHeight w:val="48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有老年人多重用药、营养不良、慢性伤口（包括压疮）和下肢深静脉血栓等老年常见照护问题的评估与干预服务（4分）</w:t>
            </w:r>
          </w:p>
        </w:tc>
      </w:tr>
      <w:tr>
        <w:tblPrEx>
          <w:tblCellMar>
            <w:top w:w="0" w:type="dxa"/>
            <w:left w:w="108" w:type="dxa"/>
            <w:bottom w:w="0" w:type="dxa"/>
            <w:right w:w="108" w:type="dxa"/>
          </w:tblCellMar>
        </w:tblPrEx>
        <w:trPr>
          <w:trHeight w:val="50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老年专科服务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提供老年人慢性伤口护理、管路维护等老年专科护理服务（2分）</w:t>
            </w:r>
          </w:p>
        </w:tc>
      </w:tr>
      <w:tr>
        <w:tblPrEx>
          <w:tblCellMar>
            <w:top w:w="0" w:type="dxa"/>
            <w:left w:w="108" w:type="dxa"/>
            <w:bottom w:w="0" w:type="dxa"/>
            <w:right w:w="108" w:type="dxa"/>
          </w:tblCellMar>
        </w:tblPrEx>
        <w:trPr>
          <w:trHeight w:val="12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提供住院康复和日间康复等中医药服务（2分）</w:t>
            </w:r>
          </w:p>
        </w:tc>
      </w:tr>
      <w:tr>
        <w:tblPrEx>
          <w:tblCellMar>
            <w:top w:w="0" w:type="dxa"/>
            <w:left w:w="108" w:type="dxa"/>
            <w:bottom w:w="0" w:type="dxa"/>
            <w:right w:w="108" w:type="dxa"/>
          </w:tblCellMar>
        </w:tblPrEx>
        <w:trPr>
          <w:trHeight w:val="44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提供与养老机构、社区卫生服务机构合作的老年长期照护服务（2分）</w:t>
            </w:r>
          </w:p>
        </w:tc>
      </w:tr>
      <w:tr>
        <w:tblPrEx>
          <w:tblCellMar>
            <w:top w:w="0" w:type="dxa"/>
            <w:left w:w="108" w:type="dxa"/>
            <w:bottom w:w="0" w:type="dxa"/>
            <w:right w:w="108" w:type="dxa"/>
          </w:tblCellMar>
        </w:tblPrEx>
        <w:trPr>
          <w:trHeight w:val="483" w:hRule="atLeast"/>
          <w:jc w:val="center"/>
        </w:trPr>
        <w:tc>
          <w:tcPr>
            <w:tcW w:w="1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为老年人及其家属开展</w:t>
            </w:r>
            <w:r>
              <w:rPr>
                <w:rFonts w:hint="eastAsia" w:ascii="仿宋_GB2312" w:hAnsi="仿宋_GB2312" w:eastAsia="仿宋_GB2312" w:cs="仿宋_GB2312"/>
                <w:color w:val="000000"/>
                <w:kern w:val="0"/>
                <w:sz w:val="28"/>
                <w:szCs w:val="28"/>
                <w:lang w:eastAsia="zh-CN"/>
              </w:rPr>
              <w:t>生命</w:t>
            </w:r>
            <w:r>
              <w:rPr>
                <w:rFonts w:hint="eastAsia" w:ascii="仿宋_GB2312" w:hAnsi="仿宋_GB2312" w:eastAsia="仿宋_GB2312" w:cs="仿宋_GB2312"/>
                <w:color w:val="000000"/>
                <w:kern w:val="0"/>
                <w:sz w:val="28"/>
                <w:szCs w:val="28"/>
              </w:rPr>
              <w:t>教育，为临终患者提供舒缓治疗与临终关怀服务（2分）</w:t>
            </w:r>
          </w:p>
        </w:tc>
      </w:tr>
      <w:tr>
        <w:tblPrEx>
          <w:tblCellMar>
            <w:top w:w="0" w:type="dxa"/>
            <w:left w:w="108" w:type="dxa"/>
            <w:bottom w:w="0" w:type="dxa"/>
            <w:right w:w="108" w:type="dxa"/>
          </w:tblCellMar>
        </w:tblPrEx>
        <w:trPr>
          <w:trHeight w:val="638" w:hRule="atLeast"/>
          <w:jc w:val="center"/>
        </w:trPr>
        <w:tc>
          <w:tcPr>
            <w:tcW w:w="1952"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老年友善服务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（社区卫生服务中心适用）</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（40分）</w:t>
            </w: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老年人智能</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产品</w:t>
            </w:r>
            <w:r>
              <w:rPr>
                <w:rFonts w:hint="eastAsia" w:ascii="仿宋_GB2312" w:hAnsi="仿宋_GB2312" w:eastAsia="仿宋_GB2312" w:cs="仿宋_GB2312"/>
                <w:kern w:val="0"/>
                <w:sz w:val="28"/>
                <w:szCs w:val="28"/>
                <w:lang w:eastAsia="zh-CN"/>
              </w:rPr>
              <w:t>使用</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机构入口增设老年患者“无健康码”绿色通道，为没有手机或确实无法提供健康码的老年人提供就医指导和便利（1分）</w:t>
            </w:r>
          </w:p>
        </w:tc>
      </w:tr>
      <w:tr>
        <w:tblPrEx>
          <w:tblCellMar>
            <w:top w:w="0" w:type="dxa"/>
            <w:left w:w="108" w:type="dxa"/>
            <w:bottom w:w="0" w:type="dxa"/>
            <w:right w:w="108" w:type="dxa"/>
          </w:tblCellMar>
        </w:tblPrEx>
        <w:trPr>
          <w:trHeight w:val="63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在自助挂号、自助打印检验检查报告、自助交费等现代化设施设备前有专人提供指导服务（2分）</w:t>
            </w:r>
          </w:p>
        </w:tc>
      </w:tr>
      <w:tr>
        <w:tblPrEx>
          <w:tblCellMar>
            <w:top w:w="0" w:type="dxa"/>
            <w:left w:w="108" w:type="dxa"/>
            <w:bottom w:w="0" w:type="dxa"/>
            <w:right w:w="108" w:type="dxa"/>
          </w:tblCellMar>
        </w:tblPrEx>
        <w:trPr>
          <w:trHeight w:val="38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基本医疗服务</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提供</w:t>
            </w:r>
            <w:r>
              <w:rPr>
                <w:rFonts w:hint="eastAsia" w:ascii="仿宋_GB2312" w:hAnsi="仿宋_GB2312" w:eastAsia="仿宋_GB2312" w:cs="仿宋_GB2312"/>
                <w:kern w:val="0"/>
                <w:sz w:val="28"/>
                <w:szCs w:val="28"/>
              </w:rPr>
              <w:t>家庭病床服务，为失能、半失能、高龄老年人就医开通绿色通道（2分）</w:t>
            </w:r>
          </w:p>
        </w:tc>
      </w:tr>
      <w:tr>
        <w:tblPrEx>
          <w:tblCellMar>
            <w:top w:w="0" w:type="dxa"/>
            <w:left w:w="108" w:type="dxa"/>
            <w:bottom w:w="0" w:type="dxa"/>
            <w:right w:w="108" w:type="dxa"/>
          </w:tblCellMar>
        </w:tblPrEx>
        <w:trPr>
          <w:trHeight w:val="37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有远程医疗、远程会诊等服务流程及相应服务（2分）</w:t>
            </w:r>
          </w:p>
        </w:tc>
      </w:tr>
      <w:tr>
        <w:tblPrEx>
          <w:tblCellMar>
            <w:top w:w="0" w:type="dxa"/>
            <w:left w:w="108" w:type="dxa"/>
            <w:bottom w:w="0" w:type="dxa"/>
            <w:right w:w="108" w:type="dxa"/>
          </w:tblCellMar>
        </w:tblPrEx>
        <w:trPr>
          <w:trHeight w:val="37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优化老年人的就医服务流程，涉及老年人的就诊、入院、出院、转院和家庭病床</w:t>
            </w:r>
            <w:r>
              <w:rPr>
                <w:rFonts w:hint="eastAsia" w:ascii="仿宋_GB2312" w:hAnsi="仿宋_GB2312" w:eastAsia="仿宋_GB2312" w:cs="仿宋_GB2312"/>
                <w:kern w:val="0"/>
                <w:sz w:val="28"/>
                <w:szCs w:val="28"/>
                <w:lang w:eastAsia="zh-CN"/>
              </w:rPr>
              <w:t>建床</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有</w:t>
            </w:r>
            <w:r>
              <w:rPr>
                <w:rFonts w:hint="eastAsia" w:ascii="仿宋_GB2312" w:hAnsi="仿宋_GB2312" w:eastAsia="仿宋_GB2312" w:cs="仿宋_GB2312"/>
                <w:kern w:val="0"/>
                <w:sz w:val="28"/>
                <w:szCs w:val="28"/>
              </w:rPr>
              <w:t xml:space="preserve">便捷的服务流程(2分) </w:t>
            </w:r>
          </w:p>
        </w:tc>
      </w:tr>
      <w:tr>
        <w:tblPrEx>
          <w:tblCellMar>
            <w:top w:w="0" w:type="dxa"/>
            <w:left w:w="108" w:type="dxa"/>
            <w:bottom w:w="0" w:type="dxa"/>
            <w:right w:w="108" w:type="dxa"/>
          </w:tblCellMar>
        </w:tblPrEx>
        <w:trPr>
          <w:trHeight w:val="37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为老年人规范开展上门</w:t>
            </w:r>
            <w:r>
              <w:rPr>
                <w:rFonts w:hint="eastAsia" w:ascii="仿宋_GB2312" w:hAnsi="仿宋_GB2312" w:eastAsia="仿宋_GB2312" w:cs="仿宋_GB2312"/>
                <w:kern w:val="0"/>
                <w:sz w:val="28"/>
                <w:szCs w:val="28"/>
                <w:lang w:eastAsia="zh-CN"/>
              </w:rPr>
              <w:t>医疗</w:t>
            </w:r>
            <w:r>
              <w:rPr>
                <w:rFonts w:hint="eastAsia" w:ascii="仿宋_GB2312" w:hAnsi="仿宋_GB2312" w:eastAsia="仿宋_GB2312" w:cs="仿宋_GB2312"/>
                <w:kern w:val="0"/>
                <w:sz w:val="28"/>
                <w:szCs w:val="28"/>
              </w:rPr>
              <w:t xml:space="preserve">服务，并有相应的服务流程(2分) </w:t>
            </w:r>
          </w:p>
        </w:tc>
      </w:tr>
      <w:tr>
        <w:tblPrEx>
          <w:tblCellMar>
            <w:top w:w="0" w:type="dxa"/>
            <w:left w:w="108" w:type="dxa"/>
            <w:bottom w:w="0" w:type="dxa"/>
            <w:right w:w="108" w:type="dxa"/>
          </w:tblCellMar>
        </w:tblPrEx>
        <w:trPr>
          <w:trHeight w:val="37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开设药物咨询窗口服务，为老年人开展多重用药的评估、咨询指导等服务（2分）</w:t>
            </w:r>
          </w:p>
        </w:tc>
      </w:tr>
      <w:tr>
        <w:tblPrEx>
          <w:tblCellMar>
            <w:top w:w="0" w:type="dxa"/>
            <w:left w:w="108" w:type="dxa"/>
            <w:bottom w:w="0" w:type="dxa"/>
            <w:right w:w="108" w:type="dxa"/>
          </w:tblCellMar>
        </w:tblPrEx>
        <w:trPr>
          <w:trHeight w:val="377"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为有需求的老年人提供“送药上门”服务（2分）</w:t>
            </w:r>
          </w:p>
        </w:tc>
      </w:tr>
      <w:tr>
        <w:tblPrEx>
          <w:tblCellMar>
            <w:top w:w="0" w:type="dxa"/>
            <w:left w:w="108" w:type="dxa"/>
            <w:bottom w:w="0" w:type="dxa"/>
            <w:right w:w="108" w:type="dxa"/>
          </w:tblCellMar>
        </w:tblPrEx>
        <w:trPr>
          <w:trHeight w:val="42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健康管理服务（15分）</w:t>
            </w: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规范开展老年人家庭医生签约服务，签约率达到90%（4分）</w:t>
            </w:r>
          </w:p>
        </w:tc>
      </w:tr>
      <w:tr>
        <w:tblPrEx>
          <w:tblCellMar>
            <w:top w:w="0" w:type="dxa"/>
            <w:left w:w="108" w:type="dxa"/>
            <w:bottom w:w="0" w:type="dxa"/>
            <w:right w:w="108" w:type="dxa"/>
          </w:tblCellMar>
        </w:tblPrEx>
        <w:trPr>
          <w:trHeight w:val="42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为签约老人开展疾病评估与高风险状态评估，建立老年综合评估制度，提供老年综合评估服务（2分）</w:t>
            </w:r>
          </w:p>
        </w:tc>
      </w:tr>
      <w:tr>
        <w:tblPrEx>
          <w:tblCellMar>
            <w:top w:w="0" w:type="dxa"/>
            <w:left w:w="108" w:type="dxa"/>
            <w:bottom w:w="0" w:type="dxa"/>
            <w:right w:w="108" w:type="dxa"/>
          </w:tblCellMar>
        </w:tblPrEx>
        <w:trPr>
          <w:trHeight w:val="426"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为签约老人开展老年综合征（如跌倒、认知障碍等问题）的评估，并针对评估结果开展相关预防与管理工作（2分）</w:t>
            </w:r>
          </w:p>
        </w:tc>
      </w:tr>
      <w:tr>
        <w:tblPrEx>
          <w:tblCellMar>
            <w:top w:w="0" w:type="dxa"/>
            <w:left w:w="108" w:type="dxa"/>
            <w:bottom w:w="0" w:type="dxa"/>
            <w:right w:w="108" w:type="dxa"/>
          </w:tblCellMar>
        </w:tblPrEx>
        <w:trPr>
          <w:trHeight w:val="958"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落实国家基本公共卫生服务项目，按照规范为辖区老年人提供居民健康档案管理、慢性病患者健康管理、中医药健康管理、老年人健康管理等服务（7分）</w:t>
            </w:r>
          </w:p>
        </w:tc>
      </w:tr>
      <w:tr>
        <w:tblPrEx>
          <w:tblCellMar>
            <w:top w:w="0" w:type="dxa"/>
            <w:left w:w="108" w:type="dxa"/>
            <w:bottom w:w="0" w:type="dxa"/>
            <w:right w:w="108" w:type="dxa"/>
          </w:tblCellMar>
        </w:tblPrEx>
        <w:trPr>
          <w:trHeight w:val="42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老年专科服务（10分）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开展老年康复与护理服务，并有相应的服务流程（2分）</w:t>
            </w:r>
          </w:p>
        </w:tc>
      </w:tr>
      <w:tr>
        <w:tblPrEx>
          <w:tblCellMar>
            <w:top w:w="0" w:type="dxa"/>
            <w:left w:w="108" w:type="dxa"/>
            <w:bottom w:w="0" w:type="dxa"/>
            <w:right w:w="108" w:type="dxa"/>
          </w:tblCellMar>
        </w:tblPrEx>
        <w:trPr>
          <w:trHeight w:val="420" w:hRule="atLeast"/>
          <w:jc w:val="center"/>
        </w:trPr>
        <w:tc>
          <w:tcPr>
            <w:tcW w:w="195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为社区或居家老人提供老年长期照护和安宁疗护服务（4分）</w:t>
            </w:r>
          </w:p>
        </w:tc>
      </w:tr>
      <w:tr>
        <w:tblPrEx>
          <w:tblCellMar>
            <w:top w:w="0" w:type="dxa"/>
            <w:left w:w="108" w:type="dxa"/>
            <w:bottom w:w="0" w:type="dxa"/>
            <w:right w:w="108" w:type="dxa"/>
          </w:tblCellMar>
        </w:tblPrEx>
        <w:trPr>
          <w:trHeight w:val="420" w:hRule="atLeast"/>
          <w:jc w:val="center"/>
        </w:trPr>
        <w:tc>
          <w:tcPr>
            <w:tcW w:w="195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为老年人提供其他多层次、多样化的专科或专症服务，如至少提供营养咨询、晕厥防护等服务（4分）</w:t>
            </w:r>
          </w:p>
        </w:tc>
      </w:tr>
      <w:tr>
        <w:tblPrEx>
          <w:tblCellMar>
            <w:top w:w="0" w:type="dxa"/>
            <w:left w:w="108" w:type="dxa"/>
            <w:bottom w:w="0" w:type="dxa"/>
            <w:right w:w="108" w:type="dxa"/>
          </w:tblCellMar>
        </w:tblPrEx>
        <w:trPr>
          <w:trHeight w:val="390" w:hRule="atLeast"/>
          <w:jc w:val="center"/>
        </w:trPr>
        <w:tc>
          <w:tcPr>
            <w:tcW w:w="19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老年友善环境</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（30分）</w:t>
            </w:r>
          </w:p>
        </w:tc>
        <w:tc>
          <w:tcPr>
            <w:tcW w:w="1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交通与标识（7分）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在门急诊和病区主出入口设有无障碍通道（1分）</w:t>
            </w:r>
          </w:p>
        </w:tc>
      </w:tr>
      <w:tr>
        <w:tblPrEx>
          <w:tblCellMar>
            <w:top w:w="0" w:type="dxa"/>
            <w:left w:w="108" w:type="dxa"/>
            <w:bottom w:w="0" w:type="dxa"/>
            <w:right w:w="108" w:type="dxa"/>
          </w:tblCellMar>
        </w:tblPrEx>
        <w:trPr>
          <w:trHeight w:val="38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应有适老化设施和无障碍设施（1分）</w:t>
            </w:r>
          </w:p>
        </w:tc>
      </w:tr>
      <w:tr>
        <w:tblPrEx>
          <w:tblCellMar>
            <w:top w:w="0" w:type="dxa"/>
            <w:left w:w="108" w:type="dxa"/>
            <w:bottom w:w="0" w:type="dxa"/>
            <w:right w:w="108" w:type="dxa"/>
          </w:tblCellMar>
        </w:tblPrEx>
        <w:trPr>
          <w:trHeight w:val="38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在机构主要出入口处有方便老年人上下车的临时停车区和安全标识（1分</w:t>
            </w:r>
          </w:p>
        </w:tc>
      </w:tr>
      <w:tr>
        <w:tblPrEx>
          <w:tblCellMar>
            <w:top w:w="0" w:type="dxa"/>
            <w:left w:w="108" w:type="dxa"/>
            <w:bottom w:w="0" w:type="dxa"/>
            <w:right w:w="108" w:type="dxa"/>
          </w:tblCellMar>
        </w:tblPrEx>
        <w:trPr>
          <w:trHeight w:val="38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在台阶、坡道、转弯处有安全警示标志，坡度适宜（1分）</w:t>
            </w:r>
          </w:p>
        </w:tc>
      </w:tr>
      <w:tr>
        <w:tblPrEx>
          <w:tblCellMar>
            <w:top w:w="0" w:type="dxa"/>
            <w:left w:w="108" w:type="dxa"/>
            <w:bottom w:w="0" w:type="dxa"/>
            <w:right w:w="108" w:type="dxa"/>
          </w:tblCellMar>
        </w:tblPrEx>
        <w:trPr>
          <w:trHeight w:val="38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主要道路岔口处、建筑主出入口处、建筑内各楼层通道分叉显眼处、电梯内外按钮，均应设有颜色醒目、较大字体、简单易懂的标识（1分）</w:t>
            </w:r>
          </w:p>
        </w:tc>
      </w:tr>
      <w:tr>
        <w:tblPrEx>
          <w:tblCellMar>
            <w:top w:w="0" w:type="dxa"/>
            <w:left w:w="108" w:type="dxa"/>
            <w:bottom w:w="0" w:type="dxa"/>
            <w:right w:w="108" w:type="dxa"/>
          </w:tblCellMar>
        </w:tblPrEx>
        <w:trPr>
          <w:trHeight w:val="38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标识要安装在适当的高度和位置，使轮椅和行走者都能看到（1分）</w:t>
            </w:r>
          </w:p>
        </w:tc>
      </w:tr>
      <w:tr>
        <w:tblPrEx>
          <w:tblCellMar>
            <w:top w:w="0" w:type="dxa"/>
            <w:left w:w="108" w:type="dxa"/>
            <w:bottom w:w="0" w:type="dxa"/>
            <w:right w:w="108" w:type="dxa"/>
          </w:tblCellMar>
        </w:tblPrEx>
        <w:trPr>
          <w:trHeight w:val="38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小标识牌字体大小至少应不小于30mm，大标识牌字体应不小于60mm；标识颜色对比明显，字体和材质基本统一，导引图上标明有当前位置（1分）</w:t>
            </w:r>
          </w:p>
        </w:tc>
      </w:tr>
      <w:tr>
        <w:tblPrEx>
          <w:tblCellMar>
            <w:top w:w="0" w:type="dxa"/>
            <w:left w:w="108" w:type="dxa"/>
            <w:bottom w:w="0" w:type="dxa"/>
            <w:right w:w="108" w:type="dxa"/>
          </w:tblCellMar>
        </w:tblPrEx>
        <w:trPr>
          <w:trHeight w:val="430"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建筑与环境（15分）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机构内部环境整洁，建筑物以暖色调为主（1分）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院内地板防滑、无反光，区域连接处平顺、无高低差（1分）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地面、墙面、家具不使用夸张的几何图案和斑纹（1分）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地板、扶手、房门与墙壁采用高对比颜色，便于识别（1分）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病房区域照明均匀充足，无眩光，病房内设置有夜灯（1分）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病房及公共区域窗户均安装行程限位器，有遮阳装置（1分）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病室装配有时钟、日历和提示板（1分）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病室温度适中，冬季温度保持在20℃-25℃之间，夏季保持在24℃-28℃之间（1分）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走道、坡道、楼梯表面有防滑措施，宽度足以让两个轮椅并行通过（1分）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长的走道、坡道间隔、长楼梯拐角处设有休息区或休息椅（1分）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楼梯和走廊两侧安装有扶手，有坡道的地方至少有一侧安装扶手（1分）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易从主入口和重要通道进入电梯，电梯三面安装扶手，电梯门、电动门自动阻尼延时≥4秒（1分）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公共区域设置有无障碍卫生间或无性别卫生间（1分）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卫生间门的宽度满足轮椅进出尺寸要求，遇紧急情况时门可从外面打开；卫生间内应有足够的空间保证轮椅转弯（1分）</w:t>
            </w:r>
          </w:p>
        </w:tc>
      </w:tr>
      <w:tr>
        <w:tblPrEx>
          <w:tblCellMar>
            <w:top w:w="0" w:type="dxa"/>
            <w:left w:w="108" w:type="dxa"/>
            <w:bottom w:w="0" w:type="dxa"/>
            <w:right w:w="108" w:type="dxa"/>
          </w:tblCellMar>
        </w:tblPrEx>
        <w:trPr>
          <w:trHeight w:val="416"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设有老年医学科住院病房的，每护理单元应设置集中浴室，浴室设施能满足自理、半失能和失能老年人的多种需求；浴室内设有马桶和座椅（1分）</w:t>
            </w:r>
          </w:p>
        </w:tc>
      </w:tr>
      <w:tr>
        <w:tblPrEx>
          <w:tblCellMar>
            <w:top w:w="0" w:type="dxa"/>
            <w:left w:w="108" w:type="dxa"/>
            <w:bottom w:w="0" w:type="dxa"/>
            <w:right w:w="108" w:type="dxa"/>
          </w:tblCellMar>
        </w:tblPrEx>
        <w:trPr>
          <w:trHeight w:val="388"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设施与家具（8分）</w:t>
            </w: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病床（或观察床）高度可调，有隔档、减压床垫（1分）</w:t>
            </w:r>
          </w:p>
        </w:tc>
      </w:tr>
      <w:tr>
        <w:tblPrEx>
          <w:tblCellMar>
            <w:top w:w="0" w:type="dxa"/>
            <w:left w:w="108" w:type="dxa"/>
            <w:bottom w:w="0" w:type="dxa"/>
            <w:right w:w="108" w:type="dxa"/>
          </w:tblCellMar>
        </w:tblPrEx>
        <w:trPr>
          <w:trHeight w:val="690"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病床（或观察床）之间以及病床（或观察床）与家具之间有足够的空间可供轮椅通行（至少为一个轮椅的转弯半径）（1分）</w:t>
            </w:r>
          </w:p>
        </w:tc>
      </w:tr>
      <w:tr>
        <w:tblPrEx>
          <w:tblCellMar>
            <w:top w:w="0" w:type="dxa"/>
            <w:left w:w="108" w:type="dxa"/>
            <w:bottom w:w="0" w:type="dxa"/>
            <w:right w:w="108" w:type="dxa"/>
          </w:tblCellMar>
        </w:tblPrEx>
        <w:trPr>
          <w:trHeight w:val="417"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在病床旁（或观察床）边应设置呼叫器及清晰易于使用的床灯开关（2分）</w:t>
            </w:r>
          </w:p>
        </w:tc>
      </w:tr>
      <w:tr>
        <w:tblPrEx>
          <w:tblCellMar>
            <w:top w:w="0" w:type="dxa"/>
            <w:left w:w="108" w:type="dxa"/>
            <w:bottom w:w="0" w:type="dxa"/>
            <w:right w:w="108" w:type="dxa"/>
          </w:tblCellMar>
        </w:tblPrEx>
        <w:trPr>
          <w:trHeight w:val="409"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家具稳固，带轮子的桌椅可制动（1分）</w:t>
            </w:r>
          </w:p>
        </w:tc>
      </w:tr>
      <w:tr>
        <w:tblPrEx>
          <w:tblCellMar>
            <w:top w:w="0" w:type="dxa"/>
            <w:left w:w="108" w:type="dxa"/>
            <w:bottom w:w="0" w:type="dxa"/>
            <w:right w:w="108" w:type="dxa"/>
          </w:tblCellMar>
        </w:tblPrEx>
        <w:trPr>
          <w:trHeight w:val="699"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桌椅应为圆边或在家具尖角、墙角处安装防撞护角、防撞条；与周围环境颜色对比明显，桌子高度可使轮椅伸入（1分）</w:t>
            </w:r>
          </w:p>
        </w:tc>
      </w:tr>
      <w:tr>
        <w:tblPrEx>
          <w:tblCellMar>
            <w:top w:w="0" w:type="dxa"/>
            <w:left w:w="108" w:type="dxa"/>
            <w:bottom w:w="0" w:type="dxa"/>
            <w:right w:w="108" w:type="dxa"/>
          </w:tblCellMar>
        </w:tblPrEx>
        <w:trPr>
          <w:trHeight w:val="425"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软垫座椅应防滑、易清洁，织物图案适宜，色彩与环境对比明显(1分)</w:t>
            </w:r>
          </w:p>
        </w:tc>
      </w:tr>
      <w:tr>
        <w:tblPrEx>
          <w:tblCellMar>
            <w:top w:w="0" w:type="dxa"/>
            <w:left w:w="108" w:type="dxa"/>
            <w:bottom w:w="0" w:type="dxa"/>
            <w:right w:w="108" w:type="dxa"/>
          </w:tblCellMar>
        </w:tblPrEx>
        <w:trPr>
          <w:trHeight w:val="417" w:hRule="atLeast"/>
          <w:jc w:val="center"/>
        </w:trPr>
        <w:tc>
          <w:tcPr>
            <w:tcW w:w="19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70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仿宋_GB2312" w:hAnsi="仿宋_GB2312" w:eastAsia="仿宋_GB2312" w:cs="仿宋_GB2312"/>
                <w:kern w:val="0"/>
                <w:sz w:val="28"/>
                <w:szCs w:val="28"/>
              </w:rPr>
            </w:pPr>
          </w:p>
        </w:tc>
        <w:tc>
          <w:tcPr>
            <w:tcW w:w="10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座椅应有扶手，椅背向后倾斜，座椅高460-485mm，深457-508mm（2分）</w:t>
            </w:r>
          </w:p>
        </w:tc>
      </w:tr>
    </w:tbl>
    <w:p>
      <w:pPr>
        <w:widowControl/>
        <w:jc w:val="left"/>
        <w:rPr>
          <w:rFonts w:ascii="宋体" w:hAnsi="宋体" w:cs="宋体"/>
          <w:kern w:val="0"/>
          <w:sz w:val="22"/>
          <w:szCs w:val="22"/>
        </w:rPr>
      </w:pPr>
    </w:p>
    <w:p>
      <w:pPr>
        <w:widowControl/>
        <w:jc w:val="left"/>
        <w:rPr>
          <w:rFonts w:ascii="宋体" w:hAnsi="宋体" w:cs="宋体"/>
          <w:kern w:val="0"/>
          <w:sz w:val="22"/>
          <w:szCs w:val="22"/>
        </w:rPr>
      </w:pPr>
    </w:p>
    <w:p>
      <w:pPr>
        <w:widowControl/>
        <w:jc w:val="left"/>
        <w:rPr>
          <w:rFonts w:hint="eastAsia" w:ascii="宋体" w:hAnsi="宋体" w:cs="宋体"/>
          <w:kern w:val="0"/>
          <w:sz w:val="22"/>
          <w:szCs w:val="22"/>
        </w:rPr>
        <w:sectPr>
          <w:pgSz w:w="16838" w:h="11906" w:orient="landscape"/>
          <w:pgMar w:top="1701" w:right="1417" w:bottom="1474" w:left="1417" w:header="851" w:footer="1531" w:gutter="0"/>
          <w:pgNumType w:fmt="numberInDash"/>
          <w:cols w:space="720" w:num="1"/>
          <w:rtlGutter w:val="0"/>
          <w:docGrid w:type="lines" w:linePitch="323" w:charSpace="0"/>
        </w:sectPr>
      </w:pPr>
    </w:p>
    <w:p>
      <w:pPr>
        <w:pStyle w:val="8"/>
        <w:spacing w:line="560" w:lineRule="exact"/>
        <w:ind w:firstLine="0" w:firstLineChars="0"/>
        <w:rPr>
          <w:rFonts w:hint="eastAsia" w:hAnsi="宋体" w:eastAsia="宋体"/>
          <w:sz w:val="32"/>
          <w:szCs w:val="32"/>
        </w:rPr>
      </w:pPr>
      <w:r>
        <w:rPr>
          <w:rFonts w:hint="eastAsia" w:ascii="黑体" w:hAnsi="黑体" w:eastAsia="黑体" w:cs="黑体"/>
          <w:kern w:val="2"/>
          <w:sz w:val="32"/>
          <w:szCs w:val="32"/>
        </w:rPr>
        <w:t>附件2</w:t>
      </w:r>
    </w:p>
    <w:p>
      <w:pPr>
        <w:spacing w:line="560" w:lineRule="exact"/>
        <w:jc w:val="center"/>
        <w:rPr>
          <w:rFonts w:ascii="仿宋_GB2312" w:hAnsi="宋体" w:eastAsia="仿宋_GB2312"/>
          <w:sz w:val="32"/>
          <w:szCs w:val="32"/>
        </w:rPr>
      </w:pPr>
      <w:r>
        <w:rPr>
          <w:rFonts w:hint="eastAsia" w:ascii="方正小标宋简体" w:hAnsi="宋体" w:eastAsia="方正小标宋简体" w:cs="黑体"/>
          <w:sz w:val="44"/>
          <w:szCs w:val="44"/>
        </w:rPr>
        <w:t>2021年北京市老年友善医疗机构申报表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905"/>
        <w:gridCol w:w="962"/>
        <w:gridCol w:w="137"/>
        <w:gridCol w:w="791"/>
        <w:gridCol w:w="689"/>
        <w:gridCol w:w="1148"/>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220" w:type="dxa"/>
            <w:gridSpan w:val="8"/>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仿宋_GB2312" w:hAnsi="宋体" w:eastAsia="仿宋_GB2312"/>
                <w:sz w:val="28"/>
                <w:szCs w:val="28"/>
              </w:rPr>
            </w:pPr>
            <w:r>
              <w:rPr>
                <w:rFonts w:hint="eastAsia" w:ascii="宋体" w:hAnsi="宋体" w:cs="宋体"/>
                <w:sz w:val="28"/>
                <w:szCs w:val="28"/>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宋体" w:eastAsia="仿宋_GB2312" w:cs="仿宋_GB2312"/>
                <w:sz w:val="28"/>
                <w:szCs w:val="28"/>
              </w:rPr>
            </w:pPr>
            <w:r>
              <w:rPr>
                <w:rFonts w:hint="eastAsia" w:ascii="仿宋_GB2312" w:hAnsi="宋体" w:eastAsia="仿宋_GB2312" w:cs="仿宋_GB2312"/>
                <w:sz w:val="28"/>
                <w:szCs w:val="28"/>
              </w:rPr>
              <w:t>机构名称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宋体" w:eastAsia="仿宋_GB2312" w:cs="仿宋_GB2312"/>
                <w:sz w:val="28"/>
                <w:szCs w:val="28"/>
                <w:lang w:eastAsia="zh-CN"/>
              </w:rPr>
            </w:pPr>
            <w:r>
              <w:rPr>
                <w:rFonts w:hint="eastAsia" w:ascii="仿宋_GB2312" w:hAnsi="宋体" w:eastAsia="仿宋_GB2312" w:cs="仿宋_GB2312"/>
                <w:sz w:val="21"/>
                <w:szCs w:val="21"/>
                <w:lang w:eastAsia="zh-CN"/>
              </w:rPr>
              <w:t>（第一名称）</w:t>
            </w:r>
          </w:p>
        </w:tc>
        <w:tc>
          <w:tcPr>
            <w:tcW w:w="300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p>
        </w:tc>
        <w:tc>
          <w:tcPr>
            <w:tcW w:w="148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地</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址</w:t>
            </w:r>
          </w:p>
        </w:tc>
        <w:tc>
          <w:tcPr>
            <w:tcW w:w="299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负责人姓名</w:t>
            </w:r>
          </w:p>
        </w:tc>
        <w:tc>
          <w:tcPr>
            <w:tcW w:w="3004"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p>
        </w:tc>
        <w:tc>
          <w:tcPr>
            <w:tcW w:w="148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联系电话</w:t>
            </w:r>
          </w:p>
        </w:tc>
        <w:tc>
          <w:tcPr>
            <w:tcW w:w="299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hAnsi="宋体"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center"/>
              <w:rPr>
                <w:rFonts w:ascii="仿宋_GB2312" w:hAnsi="宋体" w:eastAsia="仿宋_GB2312"/>
                <w:sz w:val="28"/>
                <w:szCs w:val="28"/>
              </w:rPr>
            </w:pPr>
            <w:r>
              <w:rPr>
                <w:rFonts w:hint="eastAsia" w:ascii="仿宋_GB2312" w:hAnsi="宋体" w:eastAsia="仿宋_GB2312" w:cs="仿宋_GB2312"/>
                <w:sz w:val="28"/>
                <w:szCs w:val="28"/>
              </w:rPr>
              <w:t>自评总</w:t>
            </w:r>
            <w:r>
              <w:rPr>
                <w:rFonts w:hint="eastAsia" w:ascii="仿宋_GB2312" w:hAnsi="宋体" w:eastAsia="仿宋_GB2312" w:cs="仿宋_GB2312"/>
                <w:sz w:val="28"/>
                <w:szCs w:val="28"/>
                <w:lang w:eastAsia="zh-CN"/>
              </w:rPr>
              <w:t>得</w:t>
            </w:r>
            <w:r>
              <w:rPr>
                <w:rFonts w:hint="eastAsia" w:ascii="仿宋_GB2312" w:hAnsi="宋体" w:eastAsia="仿宋_GB2312" w:cs="仿宋_GB2312"/>
                <w:sz w:val="28"/>
                <w:szCs w:val="28"/>
              </w:rPr>
              <w:t>分</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center"/>
              <w:rPr>
                <w:rFonts w:hint="eastAsia" w:ascii="仿宋_GB2312" w:hAnsi="宋体" w:eastAsia="仿宋_GB2312"/>
                <w:sz w:val="32"/>
                <w:szCs w:val="32"/>
              </w:rPr>
            </w:pPr>
            <w:r>
              <w:rPr>
                <w:rFonts w:hint="eastAsia" w:ascii="仿宋_GB2312" w:hAnsi="宋体" w:eastAsia="仿宋_GB2312" w:cs="仿宋_GB2312"/>
                <w:sz w:val="28"/>
                <w:szCs w:val="28"/>
              </w:rPr>
              <w:t>友善文化得分</w:t>
            </w: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center"/>
              <w:rPr>
                <w:rFonts w:hint="eastAsia" w:ascii="仿宋_GB2312" w:hAnsi="宋体" w:eastAsia="仿宋_GB2312"/>
                <w:sz w:val="32"/>
                <w:szCs w:val="32"/>
              </w:rPr>
            </w:pPr>
            <w:r>
              <w:rPr>
                <w:rFonts w:hint="eastAsia" w:ascii="仿宋_GB2312" w:hAnsi="宋体" w:eastAsia="仿宋_GB2312" w:cs="仿宋_GB2312"/>
                <w:sz w:val="28"/>
                <w:szCs w:val="28"/>
              </w:rPr>
              <w:t>友善管理得分</w:t>
            </w:r>
          </w:p>
        </w:tc>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center"/>
              <w:rPr>
                <w:rFonts w:hint="eastAsia" w:ascii="仿宋_GB2312" w:hAnsi="宋体" w:eastAsia="仿宋_GB2312"/>
                <w:sz w:val="32"/>
                <w:szCs w:val="32"/>
              </w:rPr>
            </w:pPr>
            <w:r>
              <w:rPr>
                <w:rFonts w:hint="eastAsia" w:ascii="仿宋_GB2312" w:hAnsi="宋体" w:eastAsia="仿宋_GB2312" w:cs="仿宋_GB2312"/>
                <w:sz w:val="28"/>
                <w:szCs w:val="28"/>
              </w:rPr>
              <w:t>友善服务得分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center"/>
              <w:rPr>
                <w:rFonts w:hint="eastAsia" w:ascii="仿宋_GB2312" w:hAnsi="宋体" w:eastAsia="仿宋_GB2312"/>
                <w:sz w:val="32"/>
                <w:szCs w:val="32"/>
              </w:rPr>
            </w:pPr>
            <w:r>
              <w:rPr>
                <w:rFonts w:hint="eastAsia" w:ascii="仿宋_GB2312" w:hAnsi="宋体" w:eastAsia="仿宋_GB2312" w:cs="仿宋_GB2312"/>
                <w:sz w:val="28"/>
                <w:szCs w:val="28"/>
              </w:rPr>
              <w:t>友善环境得分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left"/>
              <w:rPr>
                <w:rFonts w:hint="eastAsia" w:ascii="仿宋_GB2312" w:hAnsi="宋体" w:eastAsia="仿宋_GB2312" w:cs="仿宋_GB2312"/>
                <w:sz w:val="28"/>
                <w:szCs w:val="28"/>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left"/>
              <w:rPr>
                <w:rFonts w:hint="eastAsia" w:ascii="仿宋_GB2312" w:hAnsi="宋体" w:eastAsia="仿宋_GB2312"/>
                <w:sz w:val="32"/>
                <w:szCs w:val="32"/>
              </w:rPr>
            </w:pPr>
          </w:p>
        </w:tc>
        <w:tc>
          <w:tcPr>
            <w:tcW w:w="1890"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left"/>
              <w:rPr>
                <w:rFonts w:hint="eastAsia" w:ascii="仿宋_GB2312" w:hAnsi="宋体" w:eastAsia="仿宋_GB2312"/>
                <w:sz w:val="32"/>
                <w:szCs w:val="32"/>
              </w:rPr>
            </w:pPr>
          </w:p>
        </w:tc>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left"/>
              <w:rPr>
                <w:rFonts w:hint="eastAsia" w:ascii="仿宋_GB2312" w:hAnsi="宋体" w:eastAsia="仿宋_GB2312"/>
                <w:sz w:val="32"/>
                <w:szCs w:val="32"/>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71" w:rightChars="-34"/>
              <w:jc w:val="left"/>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50" w:rightChars="-24"/>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工作亮点</w:t>
            </w:r>
          </w:p>
          <w:p>
            <w:pPr>
              <w:spacing w:line="560" w:lineRule="exact"/>
              <w:ind w:right="-50" w:rightChars="-24"/>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可另附页</w:t>
            </w:r>
            <w:r>
              <w:rPr>
                <w:rFonts w:hint="eastAsia" w:ascii="仿宋_GB2312" w:hAnsi="宋体" w:eastAsia="仿宋_GB2312" w:cs="仿宋_GB2312"/>
                <w:sz w:val="28"/>
                <w:szCs w:val="28"/>
              </w:rPr>
              <w:t>）</w:t>
            </w:r>
          </w:p>
        </w:tc>
        <w:tc>
          <w:tcPr>
            <w:tcW w:w="747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7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right="-50" w:rightChars="-24"/>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工作不足及整改意见</w:t>
            </w:r>
          </w:p>
          <w:p>
            <w:pPr>
              <w:spacing w:line="560" w:lineRule="exact"/>
              <w:ind w:right="-50" w:rightChars="-24"/>
              <w:jc w:val="center"/>
              <w:rPr>
                <w:rFonts w:hint="eastAsia" w:ascii="仿宋_GB2312" w:hAnsi="宋体" w:eastAsia="仿宋_GB2312" w:cs="仿宋_GB2312"/>
                <w:sz w:val="28"/>
                <w:szCs w:val="28"/>
              </w:rPr>
            </w:pP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可另附页</w:t>
            </w:r>
            <w:r>
              <w:rPr>
                <w:rFonts w:hint="eastAsia" w:ascii="仿宋_GB2312" w:hAnsi="宋体" w:eastAsia="仿宋_GB2312" w:cs="仿宋_GB2312"/>
                <w:sz w:val="28"/>
                <w:szCs w:val="28"/>
              </w:rPr>
              <w:t>）</w:t>
            </w:r>
          </w:p>
        </w:tc>
        <w:tc>
          <w:tcPr>
            <w:tcW w:w="747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4610"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hAnsi="宋体" w:eastAsia="仿宋_GB2312"/>
                <w:sz w:val="28"/>
                <w:szCs w:val="28"/>
              </w:rPr>
            </w:pPr>
            <w:r>
              <w:rPr>
                <w:rFonts w:hint="eastAsia" w:ascii="仿宋_GB2312" w:hAnsi="宋体" w:eastAsia="仿宋_GB2312" w:cs="仿宋_GB2312"/>
                <w:sz w:val="28"/>
                <w:szCs w:val="28"/>
              </w:rPr>
              <w:t>区卫生健康委</w:t>
            </w:r>
            <w:r>
              <w:rPr>
                <w:rFonts w:hint="eastAsia" w:ascii="仿宋_GB2312" w:hAnsi="宋体" w:eastAsia="仿宋_GB2312" w:cs="仿宋_GB2312"/>
                <w:sz w:val="28"/>
                <w:szCs w:val="28"/>
                <w:lang w:eastAsia="zh-CN"/>
              </w:rPr>
              <w:t>、经济开发区社会事业局</w:t>
            </w:r>
            <w:r>
              <w:rPr>
                <w:rFonts w:hint="eastAsia" w:ascii="仿宋_GB2312" w:hAnsi="宋体" w:eastAsia="仿宋_GB2312" w:cs="仿宋_GB2312"/>
                <w:sz w:val="28"/>
                <w:szCs w:val="28"/>
              </w:rPr>
              <w:t>意见</w:t>
            </w:r>
          </w:p>
          <w:p>
            <w:pPr>
              <w:spacing w:line="560" w:lineRule="exact"/>
              <w:jc w:val="left"/>
              <w:rPr>
                <w:rFonts w:ascii="仿宋_GB2312" w:hAnsi="宋体" w:eastAsia="仿宋_GB2312"/>
                <w:sz w:val="28"/>
                <w:szCs w:val="28"/>
              </w:rPr>
            </w:pPr>
          </w:p>
          <w:p>
            <w:pPr>
              <w:spacing w:line="560" w:lineRule="exact"/>
              <w:ind w:firstLine="1960" w:firstLineChars="700"/>
              <w:jc w:val="left"/>
              <w:rPr>
                <w:rFonts w:ascii="仿宋_GB2312" w:hAnsi="宋体" w:eastAsia="仿宋_GB2312"/>
                <w:sz w:val="28"/>
                <w:szCs w:val="28"/>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（盖章）</w:t>
            </w:r>
          </w:p>
          <w:p>
            <w:pPr>
              <w:spacing w:line="560" w:lineRule="exact"/>
              <w:ind w:firstLine="1960" w:firstLineChars="700"/>
              <w:jc w:val="left"/>
              <w:rPr>
                <w:rFonts w:ascii="仿宋_GB2312" w:hAnsi="宋体" w:eastAsia="仿宋_GB2312"/>
                <w:sz w:val="32"/>
                <w:szCs w:val="32"/>
              </w:rPr>
            </w:pPr>
            <w:r>
              <w:rPr>
                <w:rFonts w:hint="eastAsia" w:ascii="仿宋_GB2312" w:hAnsi="宋体" w:eastAsia="仿宋_GB2312" w:cs="仿宋_GB2312"/>
                <w:sz w:val="28"/>
                <w:szCs w:val="28"/>
              </w:rPr>
              <w:t xml:space="preserve">     年   月   日</w:t>
            </w:r>
          </w:p>
        </w:tc>
        <w:tc>
          <w:tcPr>
            <w:tcW w:w="4610"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hAnsi="宋体" w:eastAsia="仿宋_GB2312"/>
                <w:sz w:val="28"/>
                <w:szCs w:val="28"/>
              </w:rPr>
            </w:pPr>
            <w:r>
              <w:rPr>
                <w:rFonts w:hint="eastAsia" w:ascii="仿宋_GB2312" w:hAnsi="宋体" w:eastAsia="仿宋_GB2312" w:cs="仿宋_GB2312"/>
                <w:sz w:val="28"/>
                <w:szCs w:val="28"/>
              </w:rPr>
              <w:t>市卫生健康委意见</w:t>
            </w:r>
          </w:p>
          <w:p>
            <w:pPr>
              <w:spacing w:line="560" w:lineRule="exact"/>
              <w:ind w:firstLine="2520" w:firstLineChars="900"/>
              <w:jc w:val="left"/>
              <w:rPr>
                <w:rFonts w:ascii="仿宋_GB2312" w:hAnsi="宋体" w:eastAsia="仿宋_GB2312"/>
                <w:sz w:val="28"/>
                <w:szCs w:val="28"/>
              </w:rPr>
            </w:pPr>
          </w:p>
          <w:p>
            <w:pPr>
              <w:spacing w:line="560" w:lineRule="exact"/>
              <w:ind w:firstLine="2520" w:firstLineChars="900"/>
              <w:jc w:val="left"/>
              <w:rPr>
                <w:rFonts w:ascii="仿宋_GB2312" w:hAnsi="宋体" w:eastAsia="仿宋_GB2312"/>
                <w:sz w:val="28"/>
                <w:szCs w:val="28"/>
              </w:rPr>
            </w:pPr>
          </w:p>
          <w:p>
            <w:pPr>
              <w:spacing w:line="560" w:lineRule="exact"/>
              <w:ind w:firstLine="2520" w:firstLineChars="900"/>
              <w:jc w:val="left"/>
              <w:rPr>
                <w:rFonts w:ascii="仿宋_GB2312" w:hAnsi="宋体" w:eastAsia="仿宋_GB2312"/>
                <w:sz w:val="28"/>
                <w:szCs w:val="28"/>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（盖章）</w:t>
            </w:r>
          </w:p>
          <w:p>
            <w:pPr>
              <w:spacing w:line="560" w:lineRule="exact"/>
              <w:ind w:firstLine="2380" w:firstLineChars="850"/>
              <w:jc w:val="left"/>
              <w:rPr>
                <w:rFonts w:ascii="仿宋_GB2312" w:hAnsi="宋体" w:eastAsia="仿宋_GB2312"/>
                <w:sz w:val="32"/>
                <w:szCs w:val="32"/>
              </w:rPr>
            </w:pPr>
            <w:r>
              <w:rPr>
                <w:rFonts w:hint="eastAsia" w:ascii="仿宋_GB2312" w:hAnsi="宋体" w:eastAsia="仿宋_GB2312" w:cs="仿宋_GB2312"/>
                <w:sz w:val="28"/>
                <w:szCs w:val="28"/>
              </w:rPr>
              <w:t xml:space="preserve"> 年   月   日</w:t>
            </w:r>
          </w:p>
        </w:tc>
      </w:tr>
    </w:tbl>
    <w:p>
      <w:pPr>
        <w:ind w:right="600"/>
        <w:rPr>
          <w:rFonts w:hint="eastAsia" w:ascii="仿宋_GB2312" w:eastAsia="仿宋_GB2312"/>
          <w:sz w:val="32"/>
          <w:szCs w:val="32"/>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pPr>
        <w:ind w:right="600"/>
        <w:rPr>
          <w:rFonts w:hint="eastAsia" w:ascii="仿宋_GB2312" w:eastAsia="仿宋_GB2312"/>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8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ascii="宋体" w:hAnsi="宋体" w:cs="Courier New"/>
      <w:sz w:val="32"/>
      <w:szCs w:val="32"/>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w:basedOn w:val="1"/>
    <w:link w:val="5"/>
    <w:qFormat/>
    <w:uiPriority w:val="0"/>
    <w:rPr>
      <w:rFonts w:ascii="宋体" w:hAnsi="宋体" w:cs="Courier New"/>
      <w:sz w:val="32"/>
      <w:szCs w:val="32"/>
    </w:rPr>
  </w:style>
  <w:style w:type="character" w:styleId="7">
    <w:name w:val="page number"/>
    <w:basedOn w:val="5"/>
    <w:qFormat/>
    <w:uiPriority w:val="0"/>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2021-04-06T07:44:00Z</dcterms:created>
  <dc:creator>wu'x's</dc:creator>
  <cp:lastModifiedBy>wu'x's</cp:lastModifiedBy>
  <dcterms:modified xsi:type="dcterms:W3CDTF">2021-04-06T07:44:16Z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