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  <w:t>天津市医用超声耦合剂产品备案指导原则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（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>试行</w:t>
      </w:r>
      <w:bookmarkStart w:id="2" w:name="_GoBack"/>
      <w:bookmarkEnd w:id="2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shd w:val="clear" w:color="auto" w:fill="FFFFFF"/>
        </w:rPr>
      </w:pPr>
    </w:p>
    <w:p>
      <w:pPr>
        <w:spacing w:line="540" w:lineRule="exact"/>
        <w:ind w:firstLine="63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本指导原则旨在给出系统的、具有指导意义的指南性文件，用于指导备案人规范产品注册申报。本指导原则系对医用超声耦合剂产品的一般要求，备案人应依据具体产品的特性对备案资料的内容进行充实和细化。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本指导原则是对备案人和备案办理人员的指导性文件，但不包括备案所涉及的行政事项，亦不作为法规强制执行。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本指导原则是在现行法规和标准体系以及当前认知水平下制订的，随着法规和标准的不断完善，以及科学技术的不断发展，本指导原则相关内容也将进行适时的调整。</w:t>
      </w:r>
    </w:p>
    <w:p>
      <w:pPr>
        <w:spacing w:line="540" w:lineRule="exact"/>
        <w:ind w:firstLine="640" w:firstLineChars="200"/>
        <w:outlineLvl w:val="0"/>
        <w:rPr>
          <w:rFonts w:ascii="黑体" w:hAnsi="黑体" w:eastAsia="黑体"/>
          <w:bCs/>
          <w:color w:val="auto"/>
          <w:sz w:val="32"/>
          <w:szCs w:val="32"/>
        </w:rPr>
      </w:pPr>
      <w:bookmarkStart w:id="0" w:name="_Toc430332199"/>
      <w:bookmarkStart w:id="1" w:name="_Toc498607685"/>
      <w:r>
        <w:rPr>
          <w:rFonts w:hint="eastAsia" w:ascii="黑体" w:hAnsi="黑体" w:eastAsia="黑体"/>
          <w:bCs/>
          <w:color w:val="auto"/>
          <w:sz w:val="32"/>
          <w:szCs w:val="32"/>
        </w:rPr>
        <w:t>一、适用范围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本产品适用于《医疗器械分类目录》（2017版）中第一类医用超声耦合剂产品，分类编码06-08-01。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以下类型医用超声耦合剂不属于第一类医疗器械产品，不应按照第一类医疗器械备案：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1、以无菌形式提供的；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2、具有消毒功能的；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3、用于术中超声、穿刺活检等侵入性操作的；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4、经直肠、经阴道、经食管等接触粘膜的操作的；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5、用于非完好皮肤的；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6、用于新生儿的；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7、不属于第一类医疗器械其他情形的。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按照第一类医疗器械管理的超声贴片、超声垫片可参照本指导原则执行。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二、产品名称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产品的名称应为通用名称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应符合《医疗器械通用名称命名规则》（国家食品药品监督管理总局令第19号）等相关法规、规范性文件的要求，建议优先选用《医疗器械分类目录》（2017版）中的产品名称“医用超声耦合剂”、“超声耦合剂”等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产品名称不得含有下列内容：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（一）型号、规格；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（二）图形、符号等标志；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（三）人名、企业名称、注册商标或者其他类似名称；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（四）“最佳”、“唯一”、“精确”、“速效”等绝对化、排他性的词语，或者表示产品功效的断言或者保证；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（五）说明有效率、治愈率的用语；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（六）未经科学证明或者临床评价证明，或者虚无、假设的概念性名称；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（七）明示或者暗示包治百病，夸大适用范围，或者其他具有误导性、欺骗性的内容；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（八）“美容”、“保健”等宣传性词语；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（九）有关法律、法规禁止的其他内容。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三、型号/规格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备案人应清晰、准确表述产品的全部型号/规格，型号/规格可以使用装量等形式表述，例如</w:t>
      </w:r>
      <w:r>
        <w:rPr>
          <w:rFonts w:hint="eastAsia" w:ascii="仿宋_GB2312" w:eastAsia="仿宋_GB2312" w:cs="仿宋_GB2312"/>
          <w:bCs/>
          <w:sz w:val="32"/>
          <w:szCs w:val="32"/>
        </w:rPr>
        <w:t>：10g/支、15g/支或20ml/瓶、50ml/瓶等。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不得出现误导或超出备案产品描述以及预期用途范畴的表述内容，例如：与术中超声、穿刺活检等侵入性操作，经直肠、经阴道、经食管等接触黏膜的操作，及对非完好皮肤和新生儿进行的操作相关的词汇。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四、产品描述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产品描述应与《医疗器械分类目录》（2017版）中医用超声耦合剂产品描述相应内容一致或者少于目录内容，并注明非无菌提供。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产品描述一般为“超声诊断或治疗操作中，充填或涂敷于完好皮肤与探头（或治疗头）辐射面之间，用于透射声波的中介媒质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非无菌提供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。”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五、预期用途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预期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 xml:space="preserve">用途一般为“改善探头与患者之间的超声耦合效果，用于完好皮肤上，不具备消毒作用。不可用于术中超声、穿刺活检等侵入性操作，经直肠、经阴道、经食管等接触黏膜的操作，及对非完好皮肤和新生儿进行的操作”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六、适用标准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备案人应确保医用超声耦合剂符合YY 0299-2016《医用超声耦合剂》的要求。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七、说明书、标签和包装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备案人应确保医用超声耦合剂产品的说明书、标签和包装符合《医疗器械说明书和标签管理规定》和YY 0299-2016《医用超声耦合剂》第9章的要求，并与经备案核准后的信息一致。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八、其他</w:t>
      </w:r>
    </w:p>
    <w:p>
      <w:pPr>
        <w:spacing w:line="540" w:lineRule="exact"/>
        <w:ind w:firstLine="640" w:firstLineChars="200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备案人对备案产品类别有不同意见的，可以按照《总局办公厅关于规范医疗器械产品分类有关工作的通知》（食药监办械管〔2017〕127 号）开展申请分类界定。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4F14"/>
    <w:rsid w:val="000343B5"/>
    <w:rsid w:val="00035083"/>
    <w:rsid w:val="0009530D"/>
    <w:rsid w:val="000A73E9"/>
    <w:rsid w:val="00264CB4"/>
    <w:rsid w:val="00276DCE"/>
    <w:rsid w:val="002B500E"/>
    <w:rsid w:val="002D2B3B"/>
    <w:rsid w:val="00333C19"/>
    <w:rsid w:val="00344075"/>
    <w:rsid w:val="00361911"/>
    <w:rsid w:val="00363CCC"/>
    <w:rsid w:val="00380EFF"/>
    <w:rsid w:val="00416CBF"/>
    <w:rsid w:val="00427457"/>
    <w:rsid w:val="00470AF2"/>
    <w:rsid w:val="00563253"/>
    <w:rsid w:val="005731DD"/>
    <w:rsid w:val="0057416B"/>
    <w:rsid w:val="005A27EC"/>
    <w:rsid w:val="006B2D4C"/>
    <w:rsid w:val="006B7AB8"/>
    <w:rsid w:val="007C616A"/>
    <w:rsid w:val="008A5A54"/>
    <w:rsid w:val="008C24CE"/>
    <w:rsid w:val="009B5379"/>
    <w:rsid w:val="009B6310"/>
    <w:rsid w:val="00A74B1D"/>
    <w:rsid w:val="00B04B82"/>
    <w:rsid w:val="00BC7615"/>
    <w:rsid w:val="00C36439"/>
    <w:rsid w:val="00C73F6E"/>
    <w:rsid w:val="00C92408"/>
    <w:rsid w:val="00CB1DB7"/>
    <w:rsid w:val="00D77008"/>
    <w:rsid w:val="00DB26F9"/>
    <w:rsid w:val="00E65F1B"/>
    <w:rsid w:val="00E93F6A"/>
    <w:rsid w:val="00ED5247"/>
    <w:rsid w:val="00FC30BD"/>
    <w:rsid w:val="00FF7FC8"/>
    <w:rsid w:val="10E4394C"/>
    <w:rsid w:val="1B5B4F14"/>
    <w:rsid w:val="4EB432DC"/>
    <w:rsid w:val="64C07165"/>
    <w:rsid w:val="69C907F9"/>
    <w:rsid w:val="7FE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</Words>
  <Characters>1291</Characters>
  <Lines>10</Lines>
  <Paragraphs>3</Paragraphs>
  <TotalTime>54</TotalTime>
  <ScaleCrop>false</ScaleCrop>
  <LinksUpToDate>false</LinksUpToDate>
  <CharactersWithSpaces>1514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2021-02-09T03:50:00Z</dcterms:created>
  <dc:creator>何佳俊</dc:creator>
  <cp:lastModifiedBy>烈尘灬</cp:lastModifiedBy>
  <cp:lastPrinted>2021-03-24T06:30:00Z</cp:lastPrinted>
  <dcterms:modified xsi:type="dcterms:W3CDTF">2021-03-25T09:08:31Z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