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both"/>
        <w:rPr>
          <w:rFonts w:eastAsia="黑体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default" w:eastAsia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/>
          <w:bCs/>
          <w:kern w:val="2"/>
          <w:sz w:val="44"/>
          <w:szCs w:val="44"/>
          <w:lang w:eastAsia="zh-CN" w:bidi="ar-SA"/>
        </w:rPr>
        <w:t>广西大规模新冠病毒核酸检测实验室申请表（医疗机构）</w:t>
      </w:r>
    </w:p>
    <w:p>
      <w:pPr>
        <w:adjustRightInd w:val="0"/>
        <w:snapToGrid w:val="0"/>
        <w:jc w:val="center"/>
        <w:rPr>
          <w:rFonts w:hint="eastAsia" w:eastAsia="方正小标宋简体"/>
          <w:bCs/>
          <w:kern w:val="2"/>
          <w:sz w:val="44"/>
          <w:szCs w:val="44"/>
          <w:lang w:eastAsia="zh-CN" w:bidi="ar-SA"/>
        </w:rPr>
      </w:pPr>
    </w:p>
    <w:tbl>
      <w:tblPr>
        <w:tblStyle w:val="7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19"/>
        <w:gridCol w:w="568"/>
        <w:gridCol w:w="1576"/>
        <w:gridCol w:w="1408"/>
        <w:gridCol w:w="153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机构（实验室）名称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3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机构类型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医院（   ）            第三方检测实验室（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</w:p>
        </w:tc>
        <w:tc>
          <w:tcPr>
            <w:tcW w:w="811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是否为国家公共检测实验室（   ）     是否为城市检测基地（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拟申请承担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大规模检测类型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（    ）承担市级以上城市的大规模检测任务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（    ）承担县域内的大规模检测任务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当前最大日检测能力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firstLine="1800" w:firstLineChars="750"/>
              <w:jc w:val="right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（管）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  <w:t>生物安全二级实验室备案时间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新冠病毒核酸检测实验室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技术审核时间与证书号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最近2次新冠核酸检测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参加室间质评情况</w:t>
            </w:r>
          </w:p>
        </w:tc>
        <w:tc>
          <w:tcPr>
            <w:tcW w:w="1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省级：     （次）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最近2次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评价结果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2次合格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1次合格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0次合格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国家级：   （次）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近2年内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行政处罚情况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核心工作区域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是否安装摄像设备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影像资料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保存时限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≥                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核心实验区面积（试剂准备区、样本制备区、扩增及产物分析区等）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M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vertAlign w:val="superscript"/>
                <w:lang w:eastAsia="zh-CN" w:bidi="ar-SA"/>
              </w:rPr>
              <w:t>2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提取仪数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（台）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共     （孔）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360" w:firstLineChars="150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扩增仪数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（台）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共     （孔）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实验室技术人员总数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（人）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持有基因扩增上岗证人数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提交的其他支撑材料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纸质文件扫描，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所有支撑材料依次命名，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文件打包后发送到gxccl@126.com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）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《医疗机构执业许可证副本》扫描件；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基因检验技术和能力审核合格证书（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应包含新冠病毒核酸检测项目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）扫描件；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3.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生物安全二级及以上实验室备案凭证扫描件；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4.实验室平面图（标注各区压力）；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5.实验室仪器设备清单（含品牌型号、厂家、通量、数量、设备状态、维护和校准周期）；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6.实验室试剂耗材清单（含厂家名称、批号和储备量）；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7.技术人员清单（姓名性别、年龄、学历、职称、PCR证、新冠证、生物安全证）及外来支援人员管理相关的预案；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8.检测方法情况：列出所有新冠核酸检测的检测系统（采样管类别、采样部位、核酸提取仪和试剂、扩增仪及试剂，及完成每批次检测的通量和时间）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9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.近1年内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新冠病毒核酸检测项目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参加自治区级及以上室间质评结果扫描件；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.近3月内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新冠病毒核酸检测项目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室内质控记录扫描件；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.实验室质量管理体系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文件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（电子版）；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12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.开展大规模核酸检测应急管理体系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文件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、工作预案、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覆盖分析前中后过程的SOP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（电子版）。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机构法人代表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联系手机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346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本机构承诺以上信息和相关支撑材料均真实可靠；承诺在承担大规模检测任务时，将严格按照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《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大规模新冠病毒核酸检测实验室管理办法（试行）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》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和本通知等要求执行。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如违反相关规定，愿依法依规承担法律责任。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机构法人代表签字：</w:t>
            </w:r>
          </w:p>
          <w:p>
            <w:pPr>
              <w:widowControl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机构公章：</w:t>
            </w: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申请日期：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　　注：医疗机构填写完成后应打印、签字盖章并拍照或扫描成电子版发送到gxccl@126.com，此表需要一起提交的其他支撑材料依次命名，文件打包后与申请表一起提交。</w:t>
      </w:r>
    </w:p>
    <w:p>
      <w:pPr>
        <w:rPr>
          <w:rFonts w:eastAsiaTheme="minorEastAsia"/>
          <w:color w:val="auto"/>
          <w:lang w:eastAsia="zh-CN"/>
        </w:rPr>
      </w:pPr>
      <w:r>
        <w:rPr>
          <w:rFonts w:eastAsiaTheme="minorEastAsia"/>
          <w:color w:val="auto"/>
          <w:lang w:eastAsia="zh-CN"/>
        </w:rPr>
        <w:br w:type="page"/>
      </w:r>
    </w:p>
    <w:p>
      <w:pPr>
        <w:rPr>
          <w:rFonts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eastAsia="黑体"/>
          <w:color w:val="auto"/>
          <w:sz w:val="32"/>
          <w:szCs w:val="32"/>
          <w:lang w:eastAsia="zh-CN"/>
        </w:rPr>
        <w:t>2</w:t>
      </w:r>
    </w:p>
    <w:p>
      <w:pPr>
        <w:rPr>
          <w:rFonts w:eastAsia="黑体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eastAsia="方正小标宋简体"/>
          <w:bCs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eastAsia="方正小标宋简体"/>
          <w:bCs/>
          <w:color w:val="auto"/>
          <w:kern w:val="2"/>
          <w:sz w:val="44"/>
          <w:szCs w:val="44"/>
          <w:lang w:eastAsia="zh-CN" w:bidi="ar-SA"/>
        </w:rPr>
        <w:t>广西大规模新冠病毒核酸检测实验室申请表</w:t>
      </w:r>
    </w:p>
    <w:p>
      <w:pPr>
        <w:adjustRightInd w:val="0"/>
        <w:snapToGrid w:val="0"/>
        <w:jc w:val="center"/>
        <w:rPr>
          <w:rFonts w:eastAsia="方正小标宋简体"/>
          <w:bCs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eastAsia="方正小标宋简体"/>
          <w:bCs/>
          <w:color w:val="auto"/>
          <w:kern w:val="2"/>
          <w:sz w:val="44"/>
          <w:szCs w:val="44"/>
          <w:lang w:eastAsia="zh-CN" w:bidi="ar-SA"/>
        </w:rPr>
        <w:t>(疾控</w:t>
      </w:r>
      <w:r>
        <w:rPr>
          <w:rFonts w:eastAsia="方正小标宋简体"/>
          <w:bCs/>
          <w:color w:val="auto"/>
          <w:kern w:val="2"/>
          <w:sz w:val="44"/>
          <w:szCs w:val="44"/>
          <w:lang w:eastAsia="zh-CN" w:bidi="ar-SA"/>
        </w:rPr>
        <w:t>机构</w:t>
      </w:r>
      <w:r>
        <w:rPr>
          <w:rFonts w:hint="eastAsia" w:eastAsia="方正小标宋简体"/>
          <w:bCs/>
          <w:color w:val="auto"/>
          <w:kern w:val="2"/>
          <w:sz w:val="44"/>
          <w:szCs w:val="44"/>
          <w:lang w:eastAsia="zh-CN" w:bidi="ar-SA"/>
        </w:rPr>
        <w:t>)</w:t>
      </w:r>
    </w:p>
    <w:tbl>
      <w:tblPr>
        <w:tblStyle w:val="7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19"/>
        <w:gridCol w:w="568"/>
        <w:gridCol w:w="1357"/>
        <w:gridCol w:w="1630"/>
        <w:gridCol w:w="153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机构（实验室）名称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机构类型</w:t>
            </w:r>
          </w:p>
        </w:tc>
        <w:tc>
          <w:tcPr>
            <w:tcW w:w="811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是否为国家公共检测实验室（   ）     是否为城市检测基地（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拟申请承担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大规模检测类型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）承担市级以上城市的大规模检测任务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669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）承担县域内的大规模检测任务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当前最大日检测能力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ind w:firstLine="1800" w:firstLineChars="750"/>
              <w:jc w:val="righ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5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生物安全二级实验室备案时间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最近2次新冠核酸检测参加室间质评情况</w:t>
            </w:r>
          </w:p>
        </w:tc>
        <w:tc>
          <w:tcPr>
            <w:tcW w:w="1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省级：     （次）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最近2次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评价结果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2次合格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1次合格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0次合格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国家级：   （次）</w:t>
            </w: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近2年内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行政处罚情况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核心工作区域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是否安装摄像设备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影像资料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保存时限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≥                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核心实验区面积（试剂准备区、样本制备区、扩增及产物分析区等）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M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vertAlign w:val="superscript"/>
                <w:lang w:eastAsia="zh-CN" w:bidi="ar-SA"/>
              </w:rPr>
              <w:t>2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提取仪数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（台）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共     （孔）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360" w:firstLineChars="1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扩增仪数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（台）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共     （孔）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实验室技术人员总数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提交的其他支撑材料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（纸质文件扫描，所有支撑材料依次命名）</w:t>
            </w:r>
          </w:p>
        </w:tc>
        <w:tc>
          <w:tcPr>
            <w:tcW w:w="669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1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《事业单位法人证书》（疾控机构提供）扫描件；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生物安全二级及以上实验室备案凭证扫描件；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3.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新冠病毒核酸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检测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实验室平面图；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4.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新冠病毒核酸检测关键仪器设备清单（表1）；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5.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新冠病毒核酸检测关键试剂耗材清单（表2）；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6.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新冠病毒核酸检测技术人员清单（表3）；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7.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新冠病毒核酸检测方法情况（表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4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）：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8.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近1年内新冠病毒核酸检测项目参加省级及以上室间质评结果扫描件；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9.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提供近3月内不同完整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检测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系统新冠病毒核酸检测原始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记录及检测报告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扫描件至少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一份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10.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实验室质量管理体系文件（电子版）；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11.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新冠核酸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检测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SOP（电子版）；</w:t>
            </w:r>
          </w:p>
          <w:p>
            <w:pPr>
              <w:numPr>
                <w:ilvl w:val="-1"/>
                <w:numId w:val="0"/>
              </w:numPr>
              <w:tabs>
                <w:tab w:val="left" w:pos="312"/>
              </w:tabs>
              <w:adjustRightInd w:val="0"/>
              <w:snapToGrid w:val="0"/>
              <w:spacing w:line="320" w:lineRule="exact"/>
              <w:ind w:left="0" w:firstLine="0"/>
              <w:jc w:val="left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val="en-US" w:eastAsia="zh-CN" w:bidi="ar-SA"/>
              </w:rPr>
              <w:t>12.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实验室生物安全制度（电子版）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机构法人代表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联系手机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346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本机构承诺以上信息和相关支撑材料均真实可靠；承诺在承担大规模检测任务时，将严格按照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《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大规模新冠病毒核酸检测实验室管理办法（试行）</w:t>
            </w:r>
            <w: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  <w:t>》</w:t>
            </w: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和本通知等要求执行。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如违反相关规定，愿依法依规承担法律责任。</w:t>
            </w:r>
          </w:p>
          <w:p>
            <w:pPr>
              <w:widowControl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机构法人代表签字：</w:t>
            </w:r>
          </w:p>
          <w:p>
            <w:pPr>
              <w:widowControl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机构公章：</w:t>
            </w: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  <w:p>
            <w:pPr>
              <w:widowControl/>
              <w:spacing w:line="320" w:lineRule="exact"/>
              <w:ind w:firstLine="4920" w:firstLineChars="2050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申请日期：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</w:tr>
    </w:tbl>
    <w:p>
      <w:pPr>
        <w:adjustRightInd w:val="0"/>
        <w:snapToGrid w:val="0"/>
        <w:jc w:val="both"/>
        <w:rPr>
          <w:rFonts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t>　　注：填写完成后应打印、</w:t>
      </w:r>
      <w:r>
        <w:rPr>
          <w:rFonts w:eastAsiaTheme="minorEastAsia"/>
          <w:color w:val="auto"/>
          <w:lang w:eastAsia="zh-CN"/>
        </w:rPr>
        <w:fldChar w:fldCharType="begin"/>
      </w:r>
      <w:r>
        <w:rPr>
          <w:rFonts w:eastAsiaTheme="minorEastAsia"/>
          <w:color w:val="auto"/>
          <w:lang w:eastAsia="zh-CN"/>
        </w:rPr>
        <w:instrText xml:space="preserve"> HYPERLINK "mailto:</w:instrText>
      </w:r>
      <w:r>
        <w:rPr>
          <w:rFonts w:hint="eastAsia" w:eastAsiaTheme="minorEastAsia"/>
          <w:color w:val="auto"/>
          <w:lang w:eastAsia="zh-CN"/>
        </w:rPr>
        <w:instrText xml:space="preserve">签字盖章并拍照或扫描成电子版发送到gxccl@126.com</w:instrText>
      </w:r>
      <w:r>
        <w:rPr>
          <w:rFonts w:eastAsiaTheme="minorEastAsia"/>
          <w:color w:val="auto"/>
          <w:lang w:eastAsia="zh-CN"/>
        </w:rPr>
        <w:instrText xml:space="preserve">" </w:instrText>
      </w:r>
      <w:r>
        <w:rPr>
          <w:rFonts w:eastAsiaTheme="minorEastAsia"/>
          <w:color w:val="auto"/>
          <w:lang w:eastAsia="zh-CN"/>
        </w:rPr>
        <w:fldChar w:fldCharType="separate"/>
      </w:r>
      <w:r>
        <w:rPr>
          <w:rStyle w:val="8"/>
          <w:rFonts w:hint="eastAsia" w:asciiTheme="minorHAnsi" w:hAnsiTheme="minorHAnsi" w:eastAsiaTheme="minorEastAsia" w:cstheme="minorBidi"/>
          <w:color w:val="auto"/>
          <w:lang w:eastAsia="zh-CN"/>
        </w:rPr>
        <w:t>签字盖章并扫描成电子版发送到</w:t>
      </w:r>
      <w:r>
        <w:rPr>
          <w:rFonts w:eastAsiaTheme="minorEastAsia"/>
          <w:color w:val="auto"/>
          <w:lang w:eastAsia="zh-CN"/>
        </w:rPr>
        <w:fldChar w:fldCharType="end"/>
      </w:r>
      <w:r>
        <w:rPr>
          <w:rFonts w:hint="eastAsia" w:eastAsiaTheme="minorEastAsia"/>
          <w:color w:val="auto"/>
          <w:lang w:eastAsia="zh-CN"/>
        </w:rPr>
        <w:t>邮箱</w:t>
      </w:r>
      <w:r>
        <w:rPr>
          <w:color w:val="auto"/>
          <w:lang w:eastAsia="zh-CN"/>
        </w:rPr>
        <w:t xml:space="preserve"> </w:t>
      </w:r>
      <w:r>
        <w:rPr>
          <w:rFonts w:eastAsiaTheme="minorEastAsia"/>
          <w:color w:val="auto"/>
          <w:lang w:eastAsia="zh-CN"/>
        </w:rPr>
        <w:t>gxcdczg@163.com</w:t>
      </w:r>
      <w:r>
        <w:rPr>
          <w:rFonts w:hint="eastAsia" w:eastAsiaTheme="minorEastAsia"/>
          <w:color w:val="auto"/>
          <w:lang w:eastAsia="zh-CN"/>
        </w:rPr>
        <w:t>，此表需要一起提交的其他支撑材料依次命名，文件打包后与申请表一起提交。</w:t>
      </w:r>
    </w:p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widowControl/>
        <w:rPr>
          <w:rFonts w:eastAsiaTheme="minorEastAsia"/>
          <w:color w:val="auto"/>
          <w:lang w:eastAsia="zh-CN"/>
        </w:rPr>
      </w:pPr>
      <w:r>
        <w:rPr>
          <w:rFonts w:eastAsiaTheme="minorEastAsia"/>
          <w:color w:val="auto"/>
          <w:lang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表1   新冠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病毒核酸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检测关键仪器设备清单</w:t>
      </w:r>
    </w:p>
    <w:tbl>
      <w:tblPr>
        <w:tblStyle w:val="6"/>
        <w:tblW w:w="99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40"/>
        <w:gridCol w:w="867"/>
        <w:gridCol w:w="843"/>
        <w:gridCol w:w="843"/>
        <w:gridCol w:w="1011"/>
        <w:gridCol w:w="1012"/>
        <w:gridCol w:w="1518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名称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品牌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型号规格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通量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数量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设备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状态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维护和校准周期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1</w:t>
            </w:r>
          </w:p>
        </w:tc>
        <w:tc>
          <w:tcPr>
            <w:tcW w:w="2240" w:type="dxa"/>
          </w:tcPr>
          <w:p>
            <w:pPr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（填写生物</w:t>
            </w:r>
            <w:r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安全柜、提取仪</w:t>
            </w: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、</w:t>
            </w:r>
            <w:r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扩增仪</w:t>
            </w: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、</w:t>
            </w:r>
            <w:r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离心机、高压灭菌锅</w:t>
            </w: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等</w:t>
            </w:r>
            <w:r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关键设备</w:t>
            </w: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）</w:t>
            </w:r>
          </w:p>
        </w:tc>
        <w:tc>
          <w:tcPr>
            <w:tcW w:w="86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1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2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86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1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3</w:t>
            </w:r>
          </w:p>
        </w:tc>
        <w:tc>
          <w:tcPr>
            <w:tcW w:w="224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1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ascii="黑体" w:eastAsia="黑体"/>
                <w:b/>
                <w:color w:val="auto"/>
                <w:lang w:eastAsia="zh-CN"/>
              </w:rPr>
              <w:t>……</w:t>
            </w:r>
          </w:p>
        </w:tc>
        <w:tc>
          <w:tcPr>
            <w:tcW w:w="224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1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1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1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</w:tbl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表2  新冠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病毒核酸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检测关键试剂耗材清单</w:t>
      </w:r>
    </w:p>
    <w:tbl>
      <w:tblPr>
        <w:tblStyle w:val="6"/>
        <w:tblW w:w="998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576"/>
        <w:gridCol w:w="1317"/>
        <w:gridCol w:w="1279"/>
        <w:gridCol w:w="15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序号</w:t>
            </w:r>
          </w:p>
        </w:tc>
        <w:tc>
          <w:tcPr>
            <w:tcW w:w="35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名称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品牌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型号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规格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储备数量（管）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1</w:t>
            </w:r>
          </w:p>
        </w:tc>
        <w:tc>
          <w:tcPr>
            <w:tcW w:w="3576" w:type="dxa"/>
            <w:vAlign w:val="center"/>
          </w:tcPr>
          <w:p>
            <w:pPr>
              <w:jc w:val="both"/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（填写采样管</w:t>
            </w:r>
            <w:r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、提取试剂、扩增试剂</w:t>
            </w: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等</w:t>
            </w:r>
            <w:r>
              <w:rPr>
                <w:rFonts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关键</w:t>
            </w:r>
            <w:r>
              <w:rPr>
                <w:rFonts w:hint="eastAsia" w:ascii="仿宋_GB2312" w:hAnsi="Times New Roman" w:eastAsia="仿宋_GB2312"/>
                <w:color w:val="auto"/>
                <w:kern w:val="2"/>
                <w:szCs w:val="32"/>
                <w:lang w:eastAsia="zh-CN" w:bidi="ar-SA"/>
              </w:rPr>
              <w:t>试剂耗材）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5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2</w:t>
            </w:r>
          </w:p>
        </w:tc>
        <w:tc>
          <w:tcPr>
            <w:tcW w:w="357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3</w:t>
            </w:r>
          </w:p>
        </w:tc>
        <w:tc>
          <w:tcPr>
            <w:tcW w:w="357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ascii="黑体" w:eastAsia="黑体"/>
                <w:b/>
                <w:color w:val="auto"/>
                <w:lang w:eastAsia="zh-CN"/>
              </w:rPr>
              <w:t>……</w:t>
            </w:r>
          </w:p>
        </w:tc>
        <w:tc>
          <w:tcPr>
            <w:tcW w:w="357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57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17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5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278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</w:tbl>
    <w:p>
      <w:pPr>
        <w:jc w:val="center"/>
        <w:rPr>
          <w:rFonts w:ascii="小标宋" w:hAnsi="方正小标宋简体" w:eastAsia="小标宋" w:cs="方正小标宋简体"/>
          <w:color w:val="auto"/>
          <w:sz w:val="28"/>
          <w:szCs w:val="28"/>
        </w:rPr>
      </w:pPr>
    </w:p>
    <w:p>
      <w:pPr>
        <w:jc w:val="center"/>
        <w:rPr>
          <w:rFonts w:ascii="小标宋" w:hAnsi="方正小标宋简体" w:eastAsia="小标宋" w:cs="方正小标宋简体"/>
          <w:color w:val="auto"/>
          <w:sz w:val="28"/>
          <w:szCs w:val="28"/>
        </w:rPr>
      </w:pPr>
    </w:p>
    <w:p>
      <w:pPr>
        <w:jc w:val="center"/>
        <w:rPr>
          <w:rFonts w:ascii="小标宋" w:hAnsi="方正小标宋简体" w:eastAsia="小标宋" w:cs="方正小标宋简体"/>
          <w:color w:val="auto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表3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en-US"/>
        </w:rPr>
        <w:t>新冠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病毒核酸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en-US"/>
        </w:rPr>
        <w:t>检测技术人员清单</w:t>
      </w:r>
    </w:p>
    <w:tbl>
      <w:tblPr>
        <w:tblStyle w:val="6"/>
        <w:tblW w:w="986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36"/>
        <w:gridCol w:w="870"/>
        <w:gridCol w:w="869"/>
        <w:gridCol w:w="1015"/>
        <w:gridCol w:w="1016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序号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姓  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年龄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学历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职称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32"/>
                <w:lang w:eastAsia="zh-CN" w:bidi="ar-SA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1</w:t>
            </w:r>
          </w:p>
        </w:tc>
        <w:tc>
          <w:tcPr>
            <w:tcW w:w="1436" w:type="dxa"/>
          </w:tcPr>
          <w:p>
            <w:pP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771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□生物安全 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检测理论培训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2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□生物安全 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检测理论培训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Cs w:val="32"/>
                <w:lang w:eastAsia="zh-CN" w:bidi="ar-SA"/>
              </w:rPr>
              <w:t>3</w:t>
            </w:r>
          </w:p>
        </w:tc>
        <w:tc>
          <w:tcPr>
            <w:tcW w:w="14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□生物安全 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检测理论培训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ascii="黑体" w:eastAsia="黑体"/>
                <w:b/>
                <w:color w:val="auto"/>
                <w:lang w:eastAsia="zh-CN"/>
              </w:rPr>
              <w:t>……</w:t>
            </w:r>
          </w:p>
        </w:tc>
        <w:tc>
          <w:tcPr>
            <w:tcW w:w="14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□生物安全 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检测理论培训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□生物安全 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检测理论培训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4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6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5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□生物安全 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检测理论培训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□新冠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核酸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检测操作培训</w:t>
            </w:r>
          </w:p>
        </w:tc>
      </w:tr>
    </w:tbl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表4   新冠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en-US"/>
        </w:rPr>
        <w:t>病毒核酸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检测方法情况</w:t>
      </w:r>
    </w:p>
    <w:tbl>
      <w:tblPr>
        <w:tblStyle w:val="6"/>
        <w:tblW w:w="991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99"/>
        <w:gridCol w:w="1134"/>
        <w:gridCol w:w="1304"/>
        <w:gridCol w:w="1106"/>
        <w:gridCol w:w="992"/>
        <w:gridCol w:w="1134"/>
        <w:gridCol w:w="1136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完整检测系统序号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采样管名称及规格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提取试剂名称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提取仪名称及规格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扩增试剂名称及规格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扩增仪名称及规格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每批次检测的通量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每批次检测的时间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Cs w:val="32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  <w:t>1</w:t>
            </w:r>
          </w:p>
        </w:tc>
        <w:tc>
          <w:tcPr>
            <w:tcW w:w="1499" w:type="dxa"/>
          </w:tcPr>
          <w:p>
            <w:pPr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0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3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  <w:t>2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/>
                <w:color w:val="auto"/>
                <w:kern w:val="2"/>
                <w:szCs w:val="32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0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3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</w:pPr>
            <w:r>
              <w:rPr>
                <w:rFonts w:ascii="仿宋_GB2312" w:eastAsia="仿宋_GB2312"/>
                <w:b w:val="0"/>
                <w:color w:val="auto"/>
                <w:kern w:val="2"/>
                <w:szCs w:val="32"/>
                <w:lang w:eastAsia="zh-CN" w:bidi="ar-SA"/>
              </w:rPr>
              <w:t>3</w:t>
            </w:r>
          </w:p>
        </w:tc>
        <w:tc>
          <w:tcPr>
            <w:tcW w:w="149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0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3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  <w:r>
              <w:rPr>
                <w:rFonts w:ascii="黑体" w:eastAsia="黑体"/>
                <w:b/>
                <w:color w:val="auto"/>
                <w:lang w:eastAsia="zh-CN"/>
              </w:rPr>
              <w:t>……</w:t>
            </w:r>
          </w:p>
        </w:tc>
        <w:tc>
          <w:tcPr>
            <w:tcW w:w="149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0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3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49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30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0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1136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  <w:tc>
          <w:tcPr>
            <w:tcW w:w="839" w:type="dxa"/>
          </w:tcPr>
          <w:p>
            <w:pPr>
              <w:rPr>
                <w:rFonts w:ascii="黑体" w:eastAsia="黑体"/>
                <w:b/>
                <w:color w:val="auto"/>
                <w:lang w:eastAsia="zh-CN"/>
              </w:rPr>
            </w:pPr>
          </w:p>
        </w:tc>
      </w:tr>
    </w:tbl>
    <w:p>
      <w:pPr>
        <w:rPr>
          <w:rFonts w:eastAsiaTheme="minorEastAsia"/>
          <w:color w:val="auto"/>
          <w:lang w:eastAsia="zh-CN"/>
        </w:rPr>
      </w:pPr>
    </w:p>
    <w:p>
      <w:pPr>
        <w:spacing w:line="560" w:lineRule="exact"/>
        <w:rPr>
          <w:rFonts w:eastAsia="仿宋_GB2312"/>
          <w:kern w:val="2"/>
          <w:sz w:val="32"/>
          <w:szCs w:val="32"/>
          <w:lang w:eastAsia="zh-CN" w:bidi="ar-SA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eastAsiaTheme="minorEastAsia"/>
          <w:color w:val="auto"/>
          <w:lang w:eastAsia="zh-CN"/>
        </w:rPr>
      </w:pPr>
      <w:r>
        <w:rPr>
          <w:rFonts w:eastAsia="黑体"/>
          <w:sz w:val="32"/>
          <w:szCs w:val="32"/>
          <w:lang w:eastAsia="zh-CN"/>
        </w:rPr>
        <w:br w:type="page"/>
      </w:r>
    </w:p>
    <w:sectPr>
      <w:footerReference r:id="rId5" w:type="first"/>
      <w:footerReference r:id="rId3" w:type="default"/>
      <w:footerReference r:id="rId4" w:type="even"/>
      <w:pgSz w:w="11900" w:h="16840"/>
      <w:pgMar w:top="1701" w:right="1417" w:bottom="1417" w:left="1701" w:header="850" w:footer="992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-291465</wp:posOffset>
              </wp:positionV>
              <wp:extent cx="182880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95pt;height:23.6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TqKaNYAAAAGAQAADwAAAAAAAAABACAAAAAiAAAAZHJzL2Rvd25yZXYueG1s&#10;UEsBAhQAFAAAAAgAh07iQNlcgTs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4B"/>
    <w:rsid w:val="0000083E"/>
    <w:rsid w:val="00014A29"/>
    <w:rsid w:val="00015D12"/>
    <w:rsid w:val="00026E5D"/>
    <w:rsid w:val="00052EBF"/>
    <w:rsid w:val="00056B58"/>
    <w:rsid w:val="00061E68"/>
    <w:rsid w:val="00067003"/>
    <w:rsid w:val="000704DA"/>
    <w:rsid w:val="000A7127"/>
    <w:rsid w:val="000C51B3"/>
    <w:rsid w:val="000C5357"/>
    <w:rsid w:val="000C63A4"/>
    <w:rsid w:val="000D74F6"/>
    <w:rsid w:val="000F3B6F"/>
    <w:rsid w:val="0010363E"/>
    <w:rsid w:val="00120E00"/>
    <w:rsid w:val="001468CF"/>
    <w:rsid w:val="00173A27"/>
    <w:rsid w:val="00173AB5"/>
    <w:rsid w:val="00182F7F"/>
    <w:rsid w:val="0019010D"/>
    <w:rsid w:val="001B6D2B"/>
    <w:rsid w:val="001B7CB2"/>
    <w:rsid w:val="001D2C6B"/>
    <w:rsid w:val="00247F13"/>
    <w:rsid w:val="0027014A"/>
    <w:rsid w:val="0027317C"/>
    <w:rsid w:val="002C095F"/>
    <w:rsid w:val="002D42C5"/>
    <w:rsid w:val="002D6A80"/>
    <w:rsid w:val="003069A3"/>
    <w:rsid w:val="00307E29"/>
    <w:rsid w:val="00316621"/>
    <w:rsid w:val="003266F8"/>
    <w:rsid w:val="00365224"/>
    <w:rsid w:val="003820CD"/>
    <w:rsid w:val="00394ADD"/>
    <w:rsid w:val="003A1461"/>
    <w:rsid w:val="003B6258"/>
    <w:rsid w:val="003B6A32"/>
    <w:rsid w:val="003C5DAC"/>
    <w:rsid w:val="003D55BA"/>
    <w:rsid w:val="00427414"/>
    <w:rsid w:val="0044352D"/>
    <w:rsid w:val="00444483"/>
    <w:rsid w:val="0044654F"/>
    <w:rsid w:val="00497469"/>
    <w:rsid w:val="004B6E44"/>
    <w:rsid w:val="004C61B5"/>
    <w:rsid w:val="004E0824"/>
    <w:rsid w:val="00532F2D"/>
    <w:rsid w:val="00536639"/>
    <w:rsid w:val="005458FF"/>
    <w:rsid w:val="005467C6"/>
    <w:rsid w:val="005524B4"/>
    <w:rsid w:val="00555466"/>
    <w:rsid w:val="005708D4"/>
    <w:rsid w:val="0058430F"/>
    <w:rsid w:val="00584509"/>
    <w:rsid w:val="005903EA"/>
    <w:rsid w:val="0059511D"/>
    <w:rsid w:val="00596675"/>
    <w:rsid w:val="005A63AA"/>
    <w:rsid w:val="005B50DC"/>
    <w:rsid w:val="005E058C"/>
    <w:rsid w:val="005F47FE"/>
    <w:rsid w:val="0060708E"/>
    <w:rsid w:val="0061391F"/>
    <w:rsid w:val="006726DC"/>
    <w:rsid w:val="00694A87"/>
    <w:rsid w:val="006A0D8D"/>
    <w:rsid w:val="006B35B2"/>
    <w:rsid w:val="006E59F7"/>
    <w:rsid w:val="006F33EE"/>
    <w:rsid w:val="007007F7"/>
    <w:rsid w:val="00726C31"/>
    <w:rsid w:val="00727B87"/>
    <w:rsid w:val="00745B24"/>
    <w:rsid w:val="00750886"/>
    <w:rsid w:val="0076698D"/>
    <w:rsid w:val="00772FB9"/>
    <w:rsid w:val="007A5F46"/>
    <w:rsid w:val="007C34B6"/>
    <w:rsid w:val="007E2DDF"/>
    <w:rsid w:val="007F729F"/>
    <w:rsid w:val="00803310"/>
    <w:rsid w:val="00817A7C"/>
    <w:rsid w:val="008228EB"/>
    <w:rsid w:val="00834C9D"/>
    <w:rsid w:val="00836F16"/>
    <w:rsid w:val="008464FF"/>
    <w:rsid w:val="00852D07"/>
    <w:rsid w:val="00855166"/>
    <w:rsid w:val="00874069"/>
    <w:rsid w:val="008A76D1"/>
    <w:rsid w:val="008C4121"/>
    <w:rsid w:val="008F4C35"/>
    <w:rsid w:val="00900282"/>
    <w:rsid w:val="0091329F"/>
    <w:rsid w:val="00922842"/>
    <w:rsid w:val="00922BA9"/>
    <w:rsid w:val="0093167B"/>
    <w:rsid w:val="00943D61"/>
    <w:rsid w:val="009B46D7"/>
    <w:rsid w:val="009C486A"/>
    <w:rsid w:val="009C5919"/>
    <w:rsid w:val="009E108D"/>
    <w:rsid w:val="009F3935"/>
    <w:rsid w:val="009F407D"/>
    <w:rsid w:val="00A0384A"/>
    <w:rsid w:val="00A11C53"/>
    <w:rsid w:val="00A218E5"/>
    <w:rsid w:val="00A21FAC"/>
    <w:rsid w:val="00A46322"/>
    <w:rsid w:val="00A64D45"/>
    <w:rsid w:val="00A83B9F"/>
    <w:rsid w:val="00A84AFB"/>
    <w:rsid w:val="00A90195"/>
    <w:rsid w:val="00A957BA"/>
    <w:rsid w:val="00AA231B"/>
    <w:rsid w:val="00AB0E1C"/>
    <w:rsid w:val="00AB10C5"/>
    <w:rsid w:val="00AC406B"/>
    <w:rsid w:val="00AD0541"/>
    <w:rsid w:val="00AD0CF7"/>
    <w:rsid w:val="00AE404F"/>
    <w:rsid w:val="00B02C7E"/>
    <w:rsid w:val="00B2652B"/>
    <w:rsid w:val="00B42401"/>
    <w:rsid w:val="00B467B3"/>
    <w:rsid w:val="00B5494D"/>
    <w:rsid w:val="00B8312A"/>
    <w:rsid w:val="00B8484B"/>
    <w:rsid w:val="00BA2CD1"/>
    <w:rsid w:val="00BE4375"/>
    <w:rsid w:val="00BE607A"/>
    <w:rsid w:val="00BE703C"/>
    <w:rsid w:val="00C029C3"/>
    <w:rsid w:val="00C26CE9"/>
    <w:rsid w:val="00C44A76"/>
    <w:rsid w:val="00C46CDE"/>
    <w:rsid w:val="00C617E3"/>
    <w:rsid w:val="00C76F5D"/>
    <w:rsid w:val="00C90109"/>
    <w:rsid w:val="00C90722"/>
    <w:rsid w:val="00C9620F"/>
    <w:rsid w:val="00CA43AF"/>
    <w:rsid w:val="00CC26E5"/>
    <w:rsid w:val="00CE7087"/>
    <w:rsid w:val="00D3100B"/>
    <w:rsid w:val="00D53FAC"/>
    <w:rsid w:val="00D56EAE"/>
    <w:rsid w:val="00D77849"/>
    <w:rsid w:val="00DC6FDB"/>
    <w:rsid w:val="00DE020D"/>
    <w:rsid w:val="00DF0FE1"/>
    <w:rsid w:val="00DF33AC"/>
    <w:rsid w:val="00E246CA"/>
    <w:rsid w:val="00E35EF7"/>
    <w:rsid w:val="00E7200F"/>
    <w:rsid w:val="00E9741B"/>
    <w:rsid w:val="00EA5EA2"/>
    <w:rsid w:val="00EB14FD"/>
    <w:rsid w:val="00EB3283"/>
    <w:rsid w:val="00EE6C0A"/>
    <w:rsid w:val="00F22C7F"/>
    <w:rsid w:val="00F3400C"/>
    <w:rsid w:val="00F41185"/>
    <w:rsid w:val="00F434D0"/>
    <w:rsid w:val="00F51228"/>
    <w:rsid w:val="00F578A5"/>
    <w:rsid w:val="00F6011B"/>
    <w:rsid w:val="00F62095"/>
    <w:rsid w:val="00F654A5"/>
    <w:rsid w:val="00F81662"/>
    <w:rsid w:val="00FE5DDF"/>
    <w:rsid w:val="00FF2270"/>
    <w:rsid w:val="00FF438A"/>
    <w:rsid w:val="013A010A"/>
    <w:rsid w:val="022A37C3"/>
    <w:rsid w:val="0B3F44A9"/>
    <w:rsid w:val="117C39B3"/>
    <w:rsid w:val="13233DDF"/>
    <w:rsid w:val="17E43140"/>
    <w:rsid w:val="19490857"/>
    <w:rsid w:val="1AE47715"/>
    <w:rsid w:val="1BFB14AA"/>
    <w:rsid w:val="1E020B68"/>
    <w:rsid w:val="1FDE1D76"/>
    <w:rsid w:val="2035673D"/>
    <w:rsid w:val="207F3C6E"/>
    <w:rsid w:val="214C1545"/>
    <w:rsid w:val="251874A9"/>
    <w:rsid w:val="26345571"/>
    <w:rsid w:val="27612B3F"/>
    <w:rsid w:val="2EE04A71"/>
    <w:rsid w:val="34D04B7D"/>
    <w:rsid w:val="3ABA617A"/>
    <w:rsid w:val="3CD234D8"/>
    <w:rsid w:val="42397721"/>
    <w:rsid w:val="43CD16CE"/>
    <w:rsid w:val="46987403"/>
    <w:rsid w:val="469D3143"/>
    <w:rsid w:val="4DBD00F3"/>
    <w:rsid w:val="559605F9"/>
    <w:rsid w:val="56DE6638"/>
    <w:rsid w:val="57B71AC4"/>
    <w:rsid w:val="57D76062"/>
    <w:rsid w:val="582034C0"/>
    <w:rsid w:val="58DB0F65"/>
    <w:rsid w:val="59644535"/>
    <w:rsid w:val="5A4F5A3D"/>
    <w:rsid w:val="5A7969E9"/>
    <w:rsid w:val="5FB37F66"/>
    <w:rsid w:val="61FE6FE6"/>
    <w:rsid w:val="6434079C"/>
    <w:rsid w:val="64FD4B71"/>
    <w:rsid w:val="65723C49"/>
    <w:rsid w:val="68A878F9"/>
    <w:rsid w:val="6BF51127"/>
    <w:rsid w:val="6C043249"/>
    <w:rsid w:val="6C477F11"/>
    <w:rsid w:val="6CEC0F55"/>
    <w:rsid w:val="6F9F2BAC"/>
    <w:rsid w:val="70C54666"/>
    <w:rsid w:val="77C71BBC"/>
    <w:rsid w:val="79EB0FC8"/>
    <w:rsid w:val="7E7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0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2020-07-07T00:47:00Z</dcterms:created>
  <dc:creator>袁周率</dc:creator>
  <cp:lastModifiedBy>小桂子捏</cp:lastModifiedBy>
  <cp:lastPrinted>2020-09-03T01:52:00Z</cp:lastPrinted>
  <dcterms:modified xsi:type="dcterms:W3CDTF">2021-03-10T01:49:29Z</dcterms:modified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