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sz w:val="44"/>
        </w:rPr>
      </w:pPr>
      <w:bookmarkStart w:id="0" w:name="_GoBack"/>
      <w:r>
        <w:rPr>
          <w:rFonts w:ascii="方正小标宋简体" w:eastAsia="方正小标宋简体"/>
          <w:sz w:val="44"/>
        </w:rPr>
        <w:t>江西省药品</w:t>
      </w:r>
      <w:r>
        <w:rPr>
          <w:rFonts w:hint="eastAsia" w:ascii="方正小标宋简体" w:eastAsia="方正小标宋简体"/>
          <w:sz w:val="44"/>
        </w:rPr>
        <w:t>带量</w:t>
      </w:r>
      <w:r>
        <w:rPr>
          <w:rFonts w:ascii="方正小标宋简体" w:eastAsia="方正小标宋简体"/>
          <w:sz w:val="44"/>
        </w:rPr>
        <w:t>采购和使用工作情况通报（202</w:t>
      </w:r>
      <w:r>
        <w:rPr>
          <w:rFonts w:hint="eastAsia" w:ascii="方正小标宋简体" w:eastAsia="方正小标宋简体"/>
          <w:sz w:val="44"/>
        </w:rPr>
        <w:t>1</w:t>
      </w:r>
      <w:r>
        <w:rPr>
          <w:rFonts w:ascii="方正小标宋简体" w:eastAsia="方正小标宋简体"/>
          <w:sz w:val="44"/>
        </w:rPr>
        <w:t>年第</w:t>
      </w:r>
      <w:r>
        <w:rPr>
          <w:rFonts w:hint="eastAsia" w:ascii="方正小标宋简体" w:eastAsia="方正小标宋简体"/>
          <w:sz w:val="44"/>
        </w:rPr>
        <w:t>2</w:t>
      </w:r>
      <w:r>
        <w:rPr>
          <w:rFonts w:ascii="方正小标宋简体" w:eastAsia="方正小标宋简体"/>
          <w:sz w:val="44"/>
        </w:rPr>
        <w:t>期）</w:t>
      </w:r>
    </w:p>
    <w:bookmarkEnd w:id="0"/>
    <w:p>
      <w:pPr>
        <w:spacing w:line="579" w:lineRule="exact"/>
        <w:ind w:firstLine="640" w:firstLineChars="200"/>
        <w:rPr>
          <w:rFonts w:ascii="仿宋_GB2312" w:eastAsia="仿宋_GB2312"/>
        </w:rPr>
      </w:pPr>
    </w:p>
    <w:p>
      <w:pPr>
        <w:spacing w:line="579" w:lineRule="exact"/>
        <w:ind w:firstLine="640" w:firstLineChars="200"/>
        <w:rPr>
          <w:rFonts w:ascii="仿宋_GB2312" w:eastAsia="仿宋_GB2312"/>
        </w:rPr>
      </w:pPr>
      <w:r>
        <w:rPr>
          <w:rFonts w:hint="eastAsia" w:ascii="仿宋_GB2312" w:eastAsia="仿宋_GB2312"/>
        </w:rPr>
        <w:t>现将截至2021年1月31日的三批次</w:t>
      </w:r>
      <w:r>
        <w:rPr>
          <w:rFonts w:ascii="仿宋_GB2312" w:eastAsia="仿宋_GB2312"/>
        </w:rPr>
        <w:t>国家</w:t>
      </w:r>
      <w:r>
        <w:rPr>
          <w:rFonts w:hint="eastAsia" w:ascii="仿宋_GB2312" w:eastAsia="仿宋_GB2312"/>
        </w:rPr>
        <w:t>药品带量采购和第一批我省药品带量采购中选结果网上采购使用情况通报如下：</w:t>
      </w:r>
    </w:p>
    <w:p>
      <w:pPr>
        <w:spacing w:line="579" w:lineRule="exact"/>
        <w:ind w:firstLine="640" w:firstLineChars="200"/>
        <w:outlineLvl w:val="0"/>
        <w:rPr>
          <w:rFonts w:ascii="黑体" w:eastAsia="黑体"/>
        </w:rPr>
      </w:pPr>
      <w:r>
        <w:rPr>
          <w:rFonts w:ascii="黑体" w:eastAsia="黑体"/>
        </w:rPr>
        <w:t>一、4+7扩围中选品种采购情况</w:t>
      </w:r>
    </w:p>
    <w:p>
      <w:pPr>
        <w:spacing w:line="579" w:lineRule="exact"/>
        <w:ind w:firstLine="640" w:firstLineChars="200"/>
        <w:rPr>
          <w:rFonts w:ascii="仿宋_GB2312" w:eastAsia="仿宋_GB2312"/>
        </w:rPr>
      </w:pPr>
      <w:r>
        <w:rPr>
          <w:rFonts w:hint="eastAsia" w:ascii="仿宋_GB2312" w:eastAsia="仿宋_GB2312"/>
        </w:rPr>
        <w:t>国家组织药品集中采购和使用试点扩围（即4+7扩围）中选结果自2020年12月20日开始进入第二个采购周期，从2020年12月20日至2021年1月31日，采购情况如下：</w:t>
      </w:r>
    </w:p>
    <w:p>
      <w:pPr>
        <w:spacing w:line="579" w:lineRule="exact"/>
        <w:ind w:firstLine="643" w:firstLineChars="200"/>
        <w:rPr>
          <w:rFonts w:ascii="仿宋_GB2312" w:eastAsia="仿宋_GB2312"/>
          <w:color w:val="FF0000"/>
        </w:rPr>
      </w:pPr>
      <w:r>
        <w:rPr>
          <w:rFonts w:ascii="楷体_GB2312" w:eastAsia="楷体_GB2312"/>
          <w:b/>
        </w:rPr>
        <w:t>（一）采购数量。</w:t>
      </w:r>
      <w:r>
        <w:rPr>
          <w:rFonts w:hint="eastAsia" w:ascii="仿宋_GB2312" w:eastAsia="仿宋_GB2312"/>
        </w:rPr>
        <w:t>25个中选药品的31个品规在全省12个联盟地区采购总数量为10281.19万片/支/袋；按药品统计，最高为厄贝沙坦75mg的1831.24万片，最低为培美曲塞500mg的343瓶。</w:t>
      </w:r>
    </w:p>
    <w:p>
      <w:pPr>
        <w:spacing w:line="579" w:lineRule="exact"/>
        <w:ind w:firstLine="643" w:firstLineChars="200"/>
        <w:rPr>
          <w:rFonts w:ascii="仿宋_GB2312" w:eastAsia="仿宋_GB2312"/>
          <w:color w:val="FF0000"/>
        </w:rPr>
      </w:pPr>
      <w:r>
        <w:rPr>
          <w:rFonts w:ascii="楷体_GB2312" w:eastAsia="楷体_GB2312"/>
          <w:b/>
        </w:rPr>
        <w:t>（二）采购金额。</w:t>
      </w:r>
      <w:r>
        <w:rPr>
          <w:rFonts w:hint="eastAsia" w:ascii="仿宋_GB2312" w:eastAsia="仿宋_GB2312"/>
        </w:rPr>
        <w:t>31个品规在全省12个联盟地区采购总金额为9502.97万元，占同品规药品采购金额的73.37%。按药品统计，最高为氯吡格雷75mg的</w:t>
      </w:r>
      <w:r>
        <w:rPr>
          <w:rFonts w:ascii="仿宋_GB2312" w:eastAsia="仿宋_GB2312"/>
        </w:rPr>
        <w:t>2317</w:t>
      </w:r>
      <w:r>
        <w:rPr>
          <w:rFonts w:hint="eastAsia" w:ascii="仿宋_GB2312" w:eastAsia="仿宋_GB2312"/>
        </w:rPr>
        <w:t>.90万元</w:t>
      </w:r>
      <w:r>
        <w:rPr>
          <w:rFonts w:hint="eastAsia" w:ascii="仿宋_GB2312" w:eastAsia="仿宋_GB2312"/>
          <w:color w:val="FF0000"/>
        </w:rPr>
        <w:t>，</w:t>
      </w:r>
      <w:r>
        <w:rPr>
          <w:rFonts w:hint="eastAsia" w:ascii="仿宋_GB2312" w:eastAsia="仿宋_GB2312"/>
        </w:rPr>
        <w:t>最低为赖诺普利10mg的2.20万元。</w:t>
      </w:r>
    </w:p>
    <w:p>
      <w:pPr>
        <w:spacing w:line="579" w:lineRule="exact"/>
        <w:ind w:firstLine="643" w:firstLineChars="200"/>
        <w:rPr>
          <w:rFonts w:ascii="仿宋_GB2312" w:eastAsia="仿宋_GB2312"/>
        </w:rPr>
      </w:pPr>
      <w:r>
        <w:rPr>
          <w:rFonts w:ascii="楷体_GB2312" w:eastAsia="楷体_GB2312"/>
          <w:b/>
        </w:rPr>
        <w:t>（三）完成进度。</w:t>
      </w:r>
      <w:r>
        <w:rPr>
          <w:rFonts w:hint="eastAsia" w:ascii="仿宋_GB2312" w:eastAsia="仿宋_GB2312"/>
        </w:rPr>
        <w:t>31个品规的全省采购总数量占第二个采购周期约定采购总量的比例为38.85%；按药品统计，最高为伊马替尼100mg</w:t>
      </w:r>
      <w:r>
        <w:rPr>
          <w:rFonts w:hint="eastAsia" w:ascii="仿宋_GB2312" w:eastAsia="仿宋_GB2312"/>
        </w:rPr>
        <w:tab/>
      </w:r>
      <w:r>
        <w:rPr>
          <w:rFonts w:hint="eastAsia" w:ascii="仿宋_GB2312" w:eastAsia="仿宋_GB2312"/>
        </w:rPr>
        <w:t>的73.02%，最低为培美曲塞500mg的24.93%。</w:t>
      </w:r>
    </w:p>
    <w:p>
      <w:pPr>
        <w:spacing w:line="579" w:lineRule="exact"/>
        <w:ind w:firstLine="643" w:firstLineChars="200"/>
        <w:rPr>
          <w:rFonts w:ascii="仿宋_GB2312" w:eastAsia="仿宋_GB2312"/>
        </w:rPr>
      </w:pPr>
      <w:r>
        <w:rPr>
          <w:rFonts w:ascii="楷体_GB2312" w:eastAsia="楷体_GB2312"/>
          <w:b/>
        </w:rPr>
        <w:t>（四）中选药占比。</w:t>
      </w:r>
      <w:r>
        <w:rPr>
          <w:rFonts w:hint="eastAsia" w:ascii="仿宋_GB2312" w:eastAsia="仿宋_GB2312"/>
        </w:rPr>
        <w:t>31个品规的全省采购总数量占同品规所有药品采购总数量的比例为92.44%；按药品统计，最高为赖诺普利10mg的100%，最低为氨氯地平5mg的78.80%。</w:t>
      </w:r>
    </w:p>
    <w:p>
      <w:pPr>
        <w:spacing w:line="579" w:lineRule="exact"/>
        <w:ind w:firstLine="643" w:firstLineChars="200"/>
        <w:rPr>
          <w:rFonts w:ascii="仿宋_GB2312" w:eastAsia="仿宋_GB2312"/>
        </w:rPr>
      </w:pPr>
      <w:r>
        <w:rPr>
          <w:rFonts w:ascii="楷体_GB2312" w:eastAsia="楷体_GB2312"/>
          <w:b/>
        </w:rPr>
        <w:t>（五）网上配送率。</w:t>
      </w:r>
      <w:r>
        <w:rPr>
          <w:rFonts w:ascii="仿宋_GB2312" w:eastAsia="仿宋_GB2312"/>
        </w:rPr>
        <w:t>31个品规的全省总体配送率为</w:t>
      </w:r>
      <w:r>
        <w:rPr>
          <w:rFonts w:hint="eastAsia" w:ascii="仿宋_GB2312" w:eastAsia="仿宋_GB2312"/>
        </w:rPr>
        <w:t>84.75</w:t>
      </w:r>
      <w:r>
        <w:rPr>
          <w:rFonts w:ascii="仿宋_GB2312" w:eastAsia="仿宋_GB2312"/>
        </w:rPr>
        <w:t>%。按药品统计，有2个品规的配送率低于75</w:t>
      </w:r>
      <w:r>
        <w:rPr>
          <w:rFonts w:hint="eastAsia" w:ascii="仿宋_GB2312" w:eastAsia="仿宋_GB2312"/>
        </w:rPr>
        <w:t>%</w:t>
      </w:r>
      <w:r>
        <w:rPr>
          <w:rFonts w:ascii="仿宋_GB2312" w:eastAsia="仿宋_GB2312"/>
        </w:rPr>
        <w:t>，分别为</w:t>
      </w:r>
      <w:r>
        <w:rPr>
          <w:rFonts w:hint="eastAsia" w:ascii="仿宋_GB2312" w:eastAsia="仿宋_GB2312"/>
        </w:rPr>
        <w:t>氨氯地平5mg的54.98%和赖诺普利10mg的71.77%。</w:t>
      </w:r>
    </w:p>
    <w:p>
      <w:pPr>
        <w:spacing w:line="579" w:lineRule="exact"/>
        <w:ind w:firstLine="640" w:firstLineChars="200"/>
        <w:outlineLvl w:val="0"/>
        <w:rPr>
          <w:rFonts w:ascii="黑体" w:eastAsia="黑体"/>
        </w:rPr>
      </w:pPr>
      <w:r>
        <w:rPr>
          <w:rFonts w:ascii="黑体" w:eastAsia="黑体"/>
        </w:rPr>
        <w:t>二、第二批国家集采项目中选品种采购情况</w:t>
      </w:r>
    </w:p>
    <w:p>
      <w:pPr>
        <w:spacing w:line="579" w:lineRule="exact"/>
        <w:ind w:firstLine="640" w:firstLineChars="200"/>
        <w:rPr>
          <w:rFonts w:ascii="楷体_GB2312" w:eastAsia="楷体_GB2312"/>
          <w:b/>
        </w:rPr>
      </w:pPr>
      <w:r>
        <w:rPr>
          <w:rFonts w:hint="eastAsia" w:ascii="仿宋_GB2312" w:eastAsia="仿宋_GB2312"/>
        </w:rPr>
        <w:t>第二批国家组织药品集中采购和使用江西中选结果自2020年4月10日开始执行，截至2021年1月31日，采购情况如下：</w:t>
      </w:r>
    </w:p>
    <w:p>
      <w:pPr>
        <w:spacing w:line="579" w:lineRule="exact"/>
        <w:ind w:firstLine="643" w:firstLineChars="200"/>
        <w:rPr>
          <w:rFonts w:ascii="仿宋_GB2312" w:eastAsia="仿宋_GB2312"/>
        </w:rPr>
      </w:pPr>
      <w:r>
        <w:rPr>
          <w:rFonts w:ascii="楷体_GB2312" w:eastAsia="楷体_GB2312"/>
          <w:b/>
        </w:rPr>
        <w:t>（一）采购数量。</w:t>
      </w:r>
      <w:r>
        <w:rPr>
          <w:rFonts w:ascii="仿宋_GB2312" w:eastAsia="仿宋_GB2312"/>
        </w:rPr>
        <w:t>32个中选药品的36个品规在全省12个联盟地区采购总数量为35100</w:t>
      </w:r>
      <w:r>
        <w:rPr>
          <w:rFonts w:hint="eastAsia" w:ascii="仿宋_GB2312" w:eastAsia="仿宋_GB2312"/>
        </w:rPr>
        <w:t>.</w:t>
      </w:r>
      <w:r>
        <w:rPr>
          <w:rFonts w:ascii="仿宋_GB2312" w:eastAsia="仿宋_GB2312"/>
        </w:rPr>
        <w:t>9</w:t>
      </w:r>
      <w:r>
        <w:rPr>
          <w:rFonts w:hint="eastAsia" w:ascii="仿宋_GB2312" w:eastAsia="仿宋_GB2312"/>
        </w:rPr>
        <w:t>9万</w:t>
      </w:r>
      <w:r>
        <w:rPr>
          <w:rFonts w:ascii="仿宋_GB2312" w:eastAsia="仿宋_GB2312"/>
        </w:rPr>
        <w:t>片/支/袋；按药品统计，最高为阿卡波糖50mg的14119</w:t>
      </w:r>
      <w:r>
        <w:rPr>
          <w:rFonts w:hint="eastAsia" w:ascii="仿宋_GB2312" w:eastAsia="仿宋_GB2312"/>
        </w:rPr>
        <w:t>.</w:t>
      </w:r>
      <w:r>
        <w:rPr>
          <w:rFonts w:ascii="仿宋_GB2312" w:eastAsia="仿宋_GB2312"/>
        </w:rPr>
        <w:t>6</w:t>
      </w:r>
      <w:r>
        <w:rPr>
          <w:rFonts w:hint="eastAsia" w:ascii="仿宋_GB2312" w:eastAsia="仿宋_GB2312"/>
        </w:rPr>
        <w:t>3万</w:t>
      </w:r>
      <w:r>
        <w:rPr>
          <w:rFonts w:ascii="仿宋_GB2312" w:eastAsia="仿宋_GB2312"/>
        </w:rPr>
        <w:t>片，最低为安立生坦5mg的2</w:t>
      </w:r>
      <w:r>
        <w:rPr>
          <w:rFonts w:hint="eastAsia" w:ascii="仿宋_GB2312" w:eastAsia="仿宋_GB2312"/>
        </w:rPr>
        <w:t>.</w:t>
      </w:r>
      <w:r>
        <w:rPr>
          <w:rFonts w:ascii="仿宋_GB2312" w:eastAsia="仿宋_GB2312"/>
        </w:rPr>
        <w:t>05</w:t>
      </w:r>
      <w:r>
        <w:rPr>
          <w:rFonts w:hint="eastAsia" w:ascii="仿宋_GB2312" w:eastAsia="仿宋_GB2312"/>
        </w:rPr>
        <w:t>万片</w:t>
      </w:r>
      <w:r>
        <w:rPr>
          <w:rFonts w:ascii="仿宋_GB2312" w:eastAsia="仿宋_GB2312"/>
        </w:rPr>
        <w:t>。</w:t>
      </w:r>
    </w:p>
    <w:p>
      <w:pPr>
        <w:spacing w:line="579" w:lineRule="exact"/>
        <w:ind w:firstLine="643" w:firstLineChars="200"/>
        <w:rPr>
          <w:rFonts w:ascii="仿宋_GB2312" w:eastAsia="仿宋_GB2312"/>
        </w:rPr>
      </w:pPr>
      <w:r>
        <w:rPr>
          <w:rFonts w:ascii="楷体_GB2312" w:eastAsia="楷体_GB2312"/>
          <w:b/>
        </w:rPr>
        <w:t>（二）采购金额。</w:t>
      </w:r>
      <w:r>
        <w:rPr>
          <w:rFonts w:ascii="仿宋_GB2312" w:eastAsia="仿宋_GB2312"/>
        </w:rPr>
        <w:t>36个品规在全省12个联盟地区采购总金额为13569</w:t>
      </w:r>
      <w:r>
        <w:rPr>
          <w:rFonts w:hint="eastAsia" w:ascii="仿宋_GB2312" w:eastAsia="仿宋_GB2312"/>
        </w:rPr>
        <w:t>.</w:t>
      </w:r>
      <w:r>
        <w:rPr>
          <w:rFonts w:ascii="仿宋_GB2312" w:eastAsia="仿宋_GB2312"/>
        </w:rPr>
        <w:t>2</w:t>
      </w:r>
      <w:r>
        <w:rPr>
          <w:rFonts w:hint="eastAsia" w:ascii="仿宋_GB2312" w:eastAsia="仿宋_GB2312"/>
        </w:rPr>
        <w:t>1万</w:t>
      </w:r>
      <w:r>
        <w:rPr>
          <w:rFonts w:ascii="仿宋_GB2312" w:eastAsia="仿宋_GB2312"/>
        </w:rPr>
        <w:t>元，占同品规药品采购金额的</w:t>
      </w:r>
      <w:r>
        <w:rPr>
          <w:rFonts w:hint="eastAsia" w:ascii="仿宋_GB2312" w:eastAsia="仿宋_GB2312"/>
        </w:rPr>
        <w:t>64.86</w:t>
      </w:r>
      <w:r>
        <w:rPr>
          <w:rFonts w:ascii="仿宋_GB2312" w:eastAsia="仿宋_GB2312"/>
        </w:rPr>
        <w:t>%。按药品统计，最高为注射用紫杉醇（白蛋白结合型）100mg的4038</w:t>
      </w:r>
      <w:r>
        <w:rPr>
          <w:rFonts w:hint="eastAsia" w:ascii="仿宋_GB2312" w:eastAsia="仿宋_GB2312"/>
        </w:rPr>
        <w:t>.</w:t>
      </w:r>
      <w:r>
        <w:rPr>
          <w:rFonts w:ascii="仿宋_GB2312" w:eastAsia="仿宋_GB2312"/>
        </w:rPr>
        <w:t>1</w:t>
      </w:r>
      <w:r>
        <w:rPr>
          <w:rFonts w:hint="eastAsia" w:ascii="仿宋_GB2312" w:eastAsia="仿宋_GB2312"/>
        </w:rPr>
        <w:t>4万</w:t>
      </w:r>
      <w:r>
        <w:rPr>
          <w:rFonts w:ascii="仿宋_GB2312" w:eastAsia="仿宋_GB2312"/>
        </w:rPr>
        <w:t>元，最低为克林霉素0.15g的4</w:t>
      </w:r>
      <w:r>
        <w:rPr>
          <w:rFonts w:hint="eastAsia" w:ascii="仿宋_GB2312" w:eastAsia="仿宋_GB2312"/>
        </w:rPr>
        <w:t>.</w:t>
      </w:r>
      <w:r>
        <w:rPr>
          <w:rFonts w:ascii="仿宋_GB2312" w:eastAsia="仿宋_GB2312"/>
        </w:rPr>
        <w:t>7</w:t>
      </w:r>
      <w:r>
        <w:rPr>
          <w:rFonts w:hint="eastAsia" w:ascii="仿宋_GB2312" w:eastAsia="仿宋_GB2312"/>
        </w:rPr>
        <w:t>6万</w:t>
      </w:r>
      <w:r>
        <w:rPr>
          <w:rFonts w:ascii="仿宋_GB2312" w:eastAsia="仿宋_GB2312"/>
        </w:rPr>
        <w:t>元。</w:t>
      </w:r>
    </w:p>
    <w:p>
      <w:pPr>
        <w:spacing w:line="579" w:lineRule="exact"/>
        <w:ind w:firstLine="643" w:firstLineChars="200"/>
        <w:rPr>
          <w:rFonts w:ascii="仿宋_GB2312" w:eastAsia="仿宋_GB2312"/>
        </w:rPr>
      </w:pPr>
      <w:r>
        <w:rPr>
          <w:rFonts w:ascii="楷体_GB2312" w:eastAsia="楷体_GB2312"/>
          <w:b/>
        </w:rPr>
        <w:t>（三）完成进度。</w:t>
      </w:r>
      <w:r>
        <w:rPr>
          <w:rFonts w:ascii="仿宋_GB2312" w:eastAsia="仿宋_GB2312"/>
        </w:rPr>
        <w:t>36个品规的全省采购总数量占约定采购总量的比例为</w:t>
      </w:r>
      <w:r>
        <w:rPr>
          <w:rFonts w:hint="eastAsia" w:ascii="仿宋_GB2312" w:eastAsia="仿宋_GB2312"/>
        </w:rPr>
        <w:t>278.44</w:t>
      </w:r>
      <w:r>
        <w:rPr>
          <w:rFonts w:ascii="仿宋_GB2312" w:eastAsia="仿宋_GB2312"/>
        </w:rPr>
        <w:t>%，3</w:t>
      </w:r>
      <w:r>
        <w:rPr>
          <w:rFonts w:hint="eastAsia" w:ascii="仿宋_GB2312" w:eastAsia="仿宋_GB2312"/>
        </w:rPr>
        <w:t>2</w:t>
      </w:r>
      <w:r>
        <w:rPr>
          <w:rFonts w:ascii="仿宋_GB2312" w:eastAsia="仿宋_GB2312"/>
        </w:rPr>
        <w:t>个品规完成全省约定采购数量，3个品规完成超过</w:t>
      </w:r>
      <w:r>
        <w:rPr>
          <w:rFonts w:hint="eastAsia" w:ascii="仿宋_GB2312" w:eastAsia="仿宋_GB2312"/>
        </w:rPr>
        <w:t>80%</w:t>
      </w:r>
      <w:r>
        <w:rPr>
          <w:rFonts w:ascii="仿宋_GB2312" w:eastAsia="仿宋_GB2312"/>
        </w:rPr>
        <w:t>，</w:t>
      </w:r>
      <w:r>
        <w:rPr>
          <w:rFonts w:hint="eastAsia" w:ascii="仿宋_GB2312" w:eastAsia="仿宋_GB2312"/>
        </w:rPr>
        <w:t>1个品规的完成进度在50%以上</w:t>
      </w:r>
      <w:r>
        <w:rPr>
          <w:rFonts w:ascii="仿宋_GB2312" w:eastAsia="仿宋_GB2312"/>
        </w:rPr>
        <w:t>。</w:t>
      </w:r>
    </w:p>
    <w:p>
      <w:pPr>
        <w:spacing w:line="579" w:lineRule="exact"/>
        <w:ind w:firstLine="643" w:firstLineChars="200"/>
        <w:rPr>
          <w:rFonts w:ascii="仿宋_GB2312" w:eastAsia="仿宋_GB2312"/>
        </w:rPr>
      </w:pPr>
      <w:r>
        <w:rPr>
          <w:rFonts w:ascii="楷体_GB2312" w:eastAsia="楷体_GB2312"/>
          <w:b/>
        </w:rPr>
        <w:t>（四）中选药占比。</w:t>
      </w:r>
      <w:r>
        <w:rPr>
          <w:rFonts w:ascii="仿宋_GB2312" w:eastAsia="仿宋_GB2312"/>
        </w:rPr>
        <w:t>36个品规的全省采购总数量占同品规所有药品采购总数量的比例为</w:t>
      </w:r>
      <w:r>
        <w:rPr>
          <w:rFonts w:hint="eastAsia" w:ascii="仿宋_GB2312" w:eastAsia="仿宋_GB2312"/>
        </w:rPr>
        <w:t>87.89</w:t>
      </w:r>
      <w:r>
        <w:rPr>
          <w:rFonts w:ascii="仿宋_GB2312" w:eastAsia="仿宋_GB2312"/>
        </w:rPr>
        <w:t>%；按药品统计，最高为</w:t>
      </w:r>
      <w:r>
        <w:rPr>
          <w:rFonts w:hint="eastAsia" w:ascii="仿宋_GB2312" w:eastAsia="仿宋_GB2312"/>
        </w:rPr>
        <w:t>聚乙二醇10</w:t>
      </w:r>
      <w:r>
        <w:rPr>
          <w:rFonts w:ascii="仿宋_GB2312" w:eastAsia="仿宋_GB2312"/>
        </w:rPr>
        <w:t>g的</w:t>
      </w:r>
      <w:r>
        <w:rPr>
          <w:rFonts w:hint="eastAsia" w:ascii="仿宋_GB2312" w:eastAsia="仿宋_GB2312"/>
        </w:rPr>
        <w:t>98.08</w:t>
      </w:r>
      <w:r>
        <w:rPr>
          <w:rFonts w:ascii="仿宋_GB2312" w:eastAsia="仿宋_GB2312"/>
        </w:rPr>
        <w:t>%，最低为阿莫西林0.5g的</w:t>
      </w:r>
      <w:r>
        <w:rPr>
          <w:rFonts w:hint="eastAsia" w:ascii="仿宋_GB2312" w:eastAsia="仿宋_GB2312"/>
        </w:rPr>
        <w:t>67.09</w:t>
      </w:r>
      <w:r>
        <w:rPr>
          <w:rFonts w:ascii="仿宋_GB2312" w:eastAsia="仿宋_GB2312"/>
        </w:rPr>
        <w:t>%。</w:t>
      </w:r>
    </w:p>
    <w:p>
      <w:pPr>
        <w:spacing w:line="579" w:lineRule="exact"/>
        <w:ind w:firstLine="643" w:firstLineChars="200"/>
        <w:rPr>
          <w:rFonts w:ascii="仿宋_GB2312" w:eastAsia="仿宋_GB2312"/>
        </w:rPr>
      </w:pPr>
      <w:r>
        <w:rPr>
          <w:rFonts w:ascii="楷体_GB2312" w:eastAsia="楷体_GB2312"/>
          <w:b/>
        </w:rPr>
        <w:t>（五）网上配送率。</w:t>
      </w:r>
      <w:r>
        <w:rPr>
          <w:rFonts w:ascii="仿宋_GB2312" w:eastAsia="仿宋_GB2312"/>
        </w:rPr>
        <w:t>36个品规的全省总体配送率为</w:t>
      </w:r>
      <w:r>
        <w:rPr>
          <w:rFonts w:hint="eastAsia" w:ascii="仿宋_GB2312" w:eastAsia="仿宋_GB2312"/>
        </w:rPr>
        <w:t>77.83%</w:t>
      </w:r>
      <w:r>
        <w:rPr>
          <w:rFonts w:ascii="仿宋_GB2312" w:eastAsia="仿宋_GB2312"/>
        </w:rPr>
        <w:t>。按药品统计，有</w:t>
      </w:r>
      <w:r>
        <w:rPr>
          <w:rFonts w:hint="eastAsia" w:ascii="仿宋_GB2312" w:eastAsia="仿宋_GB2312"/>
        </w:rPr>
        <w:t>10</w:t>
      </w:r>
      <w:r>
        <w:rPr>
          <w:rFonts w:ascii="仿宋_GB2312" w:eastAsia="仿宋_GB2312"/>
        </w:rPr>
        <w:t>个品规的配送率低于</w:t>
      </w:r>
      <w:r>
        <w:rPr>
          <w:rFonts w:hint="eastAsia" w:ascii="仿宋_GB2312" w:eastAsia="仿宋_GB2312"/>
        </w:rPr>
        <w:t>75%</w:t>
      </w:r>
      <w:r>
        <w:rPr>
          <w:rFonts w:ascii="仿宋_GB2312" w:eastAsia="仿宋_GB2312"/>
        </w:rPr>
        <w:t>，</w:t>
      </w:r>
      <w:r>
        <w:rPr>
          <w:rFonts w:hint="eastAsia" w:ascii="仿宋_GB2312" w:eastAsia="仿宋_GB2312"/>
        </w:rPr>
        <w:t>最低的3个品种分别为头孢氨苄0.25g的43.05%、阿莫西林0.5g的63.61%和比索洛尔2.5mg的64.00%.</w:t>
      </w:r>
    </w:p>
    <w:p>
      <w:pPr>
        <w:spacing w:line="579" w:lineRule="exact"/>
        <w:ind w:firstLine="640" w:firstLineChars="200"/>
        <w:outlineLvl w:val="0"/>
        <w:rPr>
          <w:rFonts w:ascii="黑体" w:eastAsia="黑体"/>
        </w:rPr>
      </w:pPr>
      <w:r>
        <w:rPr>
          <w:rFonts w:hint="eastAsia" w:ascii="黑体" w:eastAsia="黑体"/>
        </w:rPr>
        <w:t>三</w:t>
      </w:r>
      <w:r>
        <w:rPr>
          <w:rFonts w:ascii="黑体" w:eastAsia="黑体"/>
        </w:rPr>
        <w:t>、第</w:t>
      </w:r>
      <w:r>
        <w:rPr>
          <w:rFonts w:hint="eastAsia" w:ascii="黑体" w:eastAsia="黑体"/>
        </w:rPr>
        <w:t>三</w:t>
      </w:r>
      <w:r>
        <w:rPr>
          <w:rFonts w:ascii="黑体" w:eastAsia="黑体"/>
        </w:rPr>
        <w:t>批国家集采项目中选品种采购情况</w:t>
      </w:r>
    </w:p>
    <w:p>
      <w:pPr>
        <w:spacing w:line="579" w:lineRule="exact"/>
        <w:ind w:firstLine="640" w:firstLineChars="200"/>
        <w:rPr>
          <w:rFonts w:ascii="楷体_GB2312" w:eastAsia="楷体_GB2312"/>
          <w:b/>
        </w:rPr>
      </w:pPr>
      <w:r>
        <w:rPr>
          <w:rFonts w:hint="eastAsia" w:ascii="仿宋_GB2312" w:eastAsia="仿宋_GB2312"/>
        </w:rPr>
        <w:t>第三批国家组织药品集中采购和使用江西中选结果自2020年11月20日开始执行，截至2021年1月31日，采购情况如下：</w:t>
      </w:r>
    </w:p>
    <w:p>
      <w:pPr>
        <w:spacing w:line="579" w:lineRule="exact"/>
        <w:ind w:firstLine="643" w:firstLineChars="200"/>
        <w:rPr>
          <w:rFonts w:ascii="仿宋_GB2312" w:eastAsia="仿宋_GB2312"/>
        </w:rPr>
      </w:pPr>
      <w:r>
        <w:rPr>
          <w:rFonts w:ascii="楷体_GB2312" w:eastAsia="楷体_GB2312"/>
          <w:b/>
        </w:rPr>
        <w:t>（一）采购数量。</w:t>
      </w:r>
      <w:r>
        <w:rPr>
          <w:rFonts w:ascii="仿宋_GB2312" w:eastAsia="仿宋_GB2312"/>
        </w:rPr>
        <w:t>55个中选药品的66个品规在全省12个联盟地区采购总数量为12488</w:t>
      </w:r>
      <w:r>
        <w:rPr>
          <w:rFonts w:hint="eastAsia" w:ascii="仿宋_GB2312" w:eastAsia="仿宋_GB2312"/>
        </w:rPr>
        <w:t>.</w:t>
      </w:r>
      <w:r>
        <w:rPr>
          <w:rFonts w:ascii="仿宋_GB2312" w:eastAsia="仿宋_GB2312"/>
        </w:rPr>
        <w:t>53</w:t>
      </w:r>
      <w:r>
        <w:rPr>
          <w:rFonts w:hint="eastAsia" w:ascii="仿宋_GB2312" w:eastAsia="仿宋_GB2312"/>
        </w:rPr>
        <w:t>万</w:t>
      </w:r>
      <w:r>
        <w:rPr>
          <w:rFonts w:ascii="仿宋_GB2312" w:eastAsia="仿宋_GB2312"/>
        </w:rPr>
        <w:t>片/支/袋；按药品统计，最高为</w:t>
      </w:r>
      <w:r>
        <w:rPr>
          <w:rFonts w:hint="eastAsia" w:ascii="仿宋_GB2312" w:eastAsia="仿宋_GB2312"/>
        </w:rPr>
        <w:t>二甲双胍0</w:t>
      </w:r>
      <w:r>
        <w:rPr>
          <w:rFonts w:ascii="仿宋_GB2312" w:eastAsia="仿宋_GB2312"/>
        </w:rPr>
        <w:t>.5g的1636</w:t>
      </w:r>
      <w:r>
        <w:rPr>
          <w:rFonts w:hint="eastAsia" w:ascii="仿宋_GB2312" w:eastAsia="仿宋_GB2312"/>
        </w:rPr>
        <w:t>.</w:t>
      </w:r>
      <w:r>
        <w:rPr>
          <w:rFonts w:ascii="仿宋_GB2312" w:eastAsia="仿宋_GB2312"/>
        </w:rPr>
        <w:t>9</w:t>
      </w:r>
      <w:r>
        <w:rPr>
          <w:rFonts w:hint="eastAsia" w:ascii="仿宋_GB2312" w:eastAsia="仿宋_GB2312"/>
        </w:rPr>
        <w:t>7万</w:t>
      </w:r>
      <w:r>
        <w:rPr>
          <w:rFonts w:ascii="仿宋_GB2312" w:eastAsia="仿宋_GB2312"/>
        </w:rPr>
        <w:t>片，最低为</w:t>
      </w:r>
      <w:r>
        <w:rPr>
          <w:rFonts w:hint="eastAsia" w:ascii="仿宋_GB2312" w:eastAsia="仿宋_GB2312"/>
        </w:rPr>
        <w:t>依托考昔1</w:t>
      </w:r>
      <w:r>
        <w:rPr>
          <w:rFonts w:ascii="仿宋_GB2312" w:eastAsia="仿宋_GB2312"/>
        </w:rPr>
        <w:t>20mg的</w:t>
      </w:r>
      <w:r>
        <w:rPr>
          <w:rFonts w:hint="eastAsia" w:ascii="仿宋_GB2312" w:eastAsia="仿宋_GB2312"/>
        </w:rPr>
        <w:t>325片</w:t>
      </w:r>
      <w:r>
        <w:rPr>
          <w:rFonts w:ascii="仿宋_GB2312" w:eastAsia="仿宋_GB2312"/>
        </w:rPr>
        <w:t>。</w:t>
      </w:r>
    </w:p>
    <w:p>
      <w:pPr>
        <w:spacing w:line="579" w:lineRule="exact"/>
        <w:ind w:firstLine="643" w:firstLineChars="200"/>
        <w:rPr>
          <w:rFonts w:ascii="仿宋_GB2312" w:eastAsia="仿宋_GB2312"/>
        </w:rPr>
      </w:pPr>
      <w:r>
        <w:rPr>
          <w:rFonts w:ascii="楷体_GB2312" w:eastAsia="楷体_GB2312"/>
          <w:b/>
        </w:rPr>
        <w:t>（二）采购金额。</w:t>
      </w:r>
      <w:r>
        <w:rPr>
          <w:rFonts w:hint="eastAsia" w:ascii="仿宋_GB2312" w:eastAsia="仿宋_GB2312"/>
        </w:rPr>
        <w:t>66个品规在全省12个联盟地区采购总金额为</w:t>
      </w:r>
      <w:r>
        <w:rPr>
          <w:rFonts w:ascii="仿宋_GB2312" w:eastAsia="仿宋_GB2312"/>
        </w:rPr>
        <w:t>5815</w:t>
      </w:r>
      <w:r>
        <w:rPr>
          <w:rFonts w:hint="eastAsia" w:ascii="仿宋_GB2312" w:eastAsia="仿宋_GB2312"/>
        </w:rPr>
        <w:t>.</w:t>
      </w:r>
      <w:r>
        <w:rPr>
          <w:rFonts w:ascii="仿宋_GB2312" w:eastAsia="仿宋_GB2312"/>
        </w:rPr>
        <w:t>97</w:t>
      </w:r>
      <w:r>
        <w:rPr>
          <w:rFonts w:hint="eastAsia" w:ascii="仿宋_GB2312" w:eastAsia="仿宋_GB2312"/>
        </w:rPr>
        <w:t>万元，占同品规药品采购金额的54.18%。按药品统计，最高为非布司他40mg的</w:t>
      </w:r>
      <w:r>
        <w:rPr>
          <w:rFonts w:ascii="仿宋_GB2312" w:eastAsia="仿宋_GB2312"/>
        </w:rPr>
        <w:t>824</w:t>
      </w:r>
      <w:r>
        <w:rPr>
          <w:rFonts w:hint="eastAsia" w:ascii="仿宋_GB2312" w:eastAsia="仿宋_GB2312"/>
        </w:rPr>
        <w:t>.80万元，最低为依托考昔30mg的748元。</w:t>
      </w:r>
    </w:p>
    <w:p>
      <w:pPr>
        <w:spacing w:line="579" w:lineRule="exact"/>
        <w:ind w:firstLine="643" w:firstLineChars="200"/>
        <w:rPr>
          <w:rFonts w:ascii="仿宋_GB2312" w:eastAsia="仿宋_GB2312"/>
        </w:rPr>
      </w:pPr>
      <w:r>
        <w:rPr>
          <w:rFonts w:ascii="楷体_GB2312" w:eastAsia="楷体_GB2312"/>
          <w:b/>
        </w:rPr>
        <w:t>（三）完成进度。</w:t>
      </w:r>
      <w:r>
        <w:rPr>
          <w:rFonts w:hint="eastAsia" w:ascii="仿宋_GB2312" w:eastAsia="仿宋_GB2312"/>
        </w:rPr>
        <w:t>66个品规的全省采购总数量占约定采购总量的比例为66.42%，24个品规完成已全省约定采购数量，30个品规完成超过50%，8个品规的完成进度超过25%，4个品规的完成进度在25%以下。</w:t>
      </w:r>
    </w:p>
    <w:p>
      <w:pPr>
        <w:spacing w:line="579" w:lineRule="exact"/>
        <w:ind w:firstLine="643" w:firstLineChars="200"/>
        <w:rPr>
          <w:rFonts w:ascii="仿宋_GB2312" w:eastAsia="仿宋_GB2312"/>
        </w:rPr>
      </w:pPr>
      <w:r>
        <w:rPr>
          <w:rFonts w:ascii="楷体_GB2312" w:eastAsia="楷体_GB2312"/>
          <w:b/>
        </w:rPr>
        <w:t>（四）中选药占比。</w:t>
      </w:r>
      <w:r>
        <w:rPr>
          <w:rFonts w:hint="eastAsia" w:ascii="仿宋_GB2312" w:eastAsia="仿宋_GB2312"/>
        </w:rPr>
        <w:t>66个品规的全省采购总数量占同品规下所有药品采购总数量的比例为79.98%；按药品统计，6个品规100%采购的中选产品，最低为氟西汀20mg的50.91%。</w:t>
      </w:r>
    </w:p>
    <w:p>
      <w:pPr>
        <w:spacing w:line="579" w:lineRule="exact"/>
        <w:ind w:firstLine="643" w:firstLineChars="200"/>
        <w:rPr>
          <w:rFonts w:ascii="仿宋_GB2312" w:eastAsia="仿宋_GB2312"/>
          <w:color w:val="FF0000"/>
        </w:rPr>
      </w:pPr>
      <w:r>
        <w:rPr>
          <w:rFonts w:ascii="楷体_GB2312" w:eastAsia="楷体_GB2312"/>
          <w:b/>
        </w:rPr>
        <w:t>（五）网上配送率。</w:t>
      </w:r>
      <w:r>
        <w:rPr>
          <w:rFonts w:hint="eastAsia" w:ascii="仿宋_GB2312" w:eastAsia="仿宋_GB2312"/>
        </w:rPr>
        <w:t>66个品规的全省总体配送率为64.80%。按药品统计，有14个品规的配送率低于75%，最低的3个品种分别为塞来昔布0.2g的23.57%、普芦卡必利1mg的36.84%和二甲双胍0.5g的36.31%。</w:t>
      </w:r>
    </w:p>
    <w:p>
      <w:pPr>
        <w:spacing w:line="579" w:lineRule="exact"/>
        <w:ind w:firstLine="640" w:firstLineChars="200"/>
        <w:outlineLvl w:val="0"/>
        <w:rPr>
          <w:rFonts w:ascii="黑体" w:eastAsia="黑体"/>
        </w:rPr>
      </w:pPr>
      <w:r>
        <w:rPr>
          <w:rFonts w:hint="eastAsia" w:ascii="黑体" w:eastAsia="黑体"/>
        </w:rPr>
        <w:t>四</w:t>
      </w:r>
      <w:r>
        <w:rPr>
          <w:rFonts w:ascii="黑体" w:eastAsia="黑体"/>
        </w:rPr>
        <w:t>、</w:t>
      </w:r>
      <w:r>
        <w:rPr>
          <w:rFonts w:hint="eastAsia" w:ascii="黑体" w:eastAsia="黑体"/>
        </w:rPr>
        <w:t>第一批江西</w:t>
      </w:r>
      <w:r>
        <w:rPr>
          <w:rFonts w:ascii="黑体" w:eastAsia="黑体"/>
        </w:rPr>
        <w:t>中选</w:t>
      </w:r>
      <w:r>
        <w:rPr>
          <w:rFonts w:hint="eastAsia" w:ascii="黑体" w:eastAsia="黑体"/>
        </w:rPr>
        <w:t>药品</w:t>
      </w:r>
      <w:r>
        <w:rPr>
          <w:rFonts w:ascii="黑体" w:eastAsia="黑体"/>
        </w:rPr>
        <w:t>采购</w:t>
      </w:r>
      <w:r>
        <w:rPr>
          <w:rFonts w:hint="eastAsia" w:ascii="黑体" w:eastAsia="黑体"/>
        </w:rPr>
        <w:t>情况</w:t>
      </w:r>
    </w:p>
    <w:p>
      <w:pPr>
        <w:spacing w:line="579" w:lineRule="exact"/>
        <w:ind w:firstLine="640" w:firstLineChars="200"/>
        <w:rPr>
          <w:rFonts w:ascii="仿宋_GB2312" w:eastAsia="仿宋_GB2312"/>
        </w:rPr>
      </w:pPr>
      <w:r>
        <w:rPr>
          <w:rFonts w:hint="eastAsia" w:ascii="仿宋_GB2312" w:eastAsia="仿宋_GB2312"/>
        </w:rPr>
        <w:t>第一批江西药品带量采购中选药品共6种药品7个品规10家企业，自2020年12月25日起在全省执行，截至2021年1月31日，全省网上采购情况如下：</w:t>
      </w:r>
    </w:p>
    <w:p>
      <w:pPr>
        <w:spacing w:line="579" w:lineRule="exact"/>
        <w:ind w:firstLine="643" w:firstLineChars="200"/>
        <w:rPr>
          <w:rFonts w:ascii="仿宋_GB2312" w:eastAsia="仿宋_GB2312"/>
        </w:rPr>
      </w:pPr>
      <w:r>
        <w:rPr>
          <w:rFonts w:ascii="楷体_GB2312" w:eastAsia="楷体_GB2312"/>
          <w:b/>
        </w:rPr>
        <w:t>（一）采购数量。</w:t>
      </w:r>
      <w:r>
        <w:rPr>
          <w:rFonts w:hint="eastAsia" w:ascii="仿宋_GB2312" w:eastAsia="仿宋_GB2312"/>
        </w:rPr>
        <w:t>中选药品在全省12个联盟地区采购总数量为</w:t>
      </w:r>
      <w:r>
        <w:rPr>
          <w:rFonts w:ascii="仿宋_GB2312" w:eastAsia="仿宋_GB2312"/>
        </w:rPr>
        <w:t>628</w:t>
      </w:r>
      <w:r>
        <w:rPr>
          <w:rFonts w:hint="eastAsia" w:ascii="仿宋_GB2312" w:eastAsia="仿宋_GB2312"/>
        </w:rPr>
        <w:t>.</w:t>
      </w:r>
      <w:r>
        <w:rPr>
          <w:rFonts w:ascii="仿宋_GB2312" w:eastAsia="仿宋_GB2312"/>
        </w:rPr>
        <w:t>07</w:t>
      </w:r>
      <w:r>
        <w:rPr>
          <w:rFonts w:hint="eastAsia" w:ascii="仿宋_GB2312" w:eastAsia="仿宋_GB2312"/>
        </w:rPr>
        <w:t>万片/支/袋；按药品统计，最高为华润双鹤利民药业（济南）有限公司的兰索拉唑肠溶片15mg的</w:t>
      </w:r>
      <w:r>
        <w:rPr>
          <w:rFonts w:ascii="仿宋_GB2312" w:eastAsia="仿宋_GB2312"/>
        </w:rPr>
        <w:t>229</w:t>
      </w:r>
      <w:r>
        <w:rPr>
          <w:rFonts w:hint="eastAsia" w:ascii="仿宋_GB2312" w:eastAsia="仿宋_GB2312"/>
        </w:rPr>
        <w:t>.</w:t>
      </w:r>
      <w:r>
        <w:rPr>
          <w:rFonts w:ascii="仿宋_GB2312" w:eastAsia="仿宋_GB2312"/>
        </w:rPr>
        <w:t>85</w:t>
      </w:r>
      <w:r>
        <w:rPr>
          <w:rFonts w:hint="eastAsia" w:ascii="仿宋_GB2312" w:eastAsia="仿宋_GB2312"/>
        </w:rPr>
        <w:t>万片，最低为齐鲁制药（海南）有限公司的注射用盐酸吉西他滨1g的1944支。</w:t>
      </w:r>
    </w:p>
    <w:p>
      <w:pPr>
        <w:spacing w:line="579" w:lineRule="exact"/>
        <w:ind w:firstLine="643" w:firstLineChars="200"/>
        <w:rPr>
          <w:rFonts w:ascii="仿宋_GB2312" w:eastAsia="仿宋_GB2312"/>
          <w:color w:val="FF0000"/>
        </w:rPr>
      </w:pPr>
      <w:r>
        <w:rPr>
          <w:rFonts w:ascii="楷体_GB2312" w:eastAsia="楷体_GB2312"/>
          <w:b/>
        </w:rPr>
        <w:t>（二）采购金额。</w:t>
      </w:r>
      <w:r>
        <w:rPr>
          <w:rFonts w:hint="eastAsia" w:ascii="仿宋_GB2312" w:eastAsia="仿宋_GB2312"/>
        </w:rPr>
        <w:t>7</w:t>
      </w:r>
      <w:r>
        <w:rPr>
          <w:rFonts w:ascii="仿宋_GB2312" w:eastAsia="仿宋_GB2312"/>
        </w:rPr>
        <w:t>个品规在全省12个联盟地区采购总金额为2926</w:t>
      </w:r>
      <w:r>
        <w:rPr>
          <w:rFonts w:hint="eastAsia" w:ascii="仿宋_GB2312" w:eastAsia="仿宋_GB2312"/>
        </w:rPr>
        <w:t>.</w:t>
      </w:r>
      <w:r>
        <w:rPr>
          <w:rFonts w:ascii="仿宋_GB2312" w:eastAsia="仿宋_GB2312"/>
        </w:rPr>
        <w:t>708432</w:t>
      </w:r>
      <w:r>
        <w:rPr>
          <w:rFonts w:hint="eastAsia" w:ascii="仿宋_GB2312" w:eastAsia="仿宋_GB2312"/>
        </w:rPr>
        <w:t>万</w:t>
      </w:r>
      <w:r>
        <w:rPr>
          <w:rFonts w:ascii="仿宋_GB2312" w:eastAsia="仿宋_GB2312"/>
        </w:rPr>
        <w:t>元，占</w:t>
      </w:r>
      <w:r>
        <w:rPr>
          <w:rFonts w:hint="eastAsia" w:ascii="仿宋_GB2312" w:eastAsia="仿宋_GB2312"/>
        </w:rPr>
        <w:t>同品种所有剂型规格</w:t>
      </w:r>
      <w:r>
        <w:rPr>
          <w:rFonts w:ascii="仿宋_GB2312" w:eastAsia="仿宋_GB2312"/>
        </w:rPr>
        <w:t>采购金额的</w:t>
      </w:r>
      <w:r>
        <w:rPr>
          <w:rFonts w:hint="eastAsia" w:ascii="仿宋_GB2312" w:eastAsia="仿宋_GB2312"/>
        </w:rPr>
        <w:t>60.92</w:t>
      </w:r>
      <w:r>
        <w:rPr>
          <w:rFonts w:ascii="仿宋_GB2312" w:eastAsia="仿宋_GB2312"/>
        </w:rPr>
        <w:t>%。按药品统计，最高为</w:t>
      </w:r>
      <w:r>
        <w:rPr>
          <w:rFonts w:hint="eastAsia" w:ascii="仿宋_GB2312" w:eastAsia="仿宋_GB2312"/>
        </w:rPr>
        <w:t>阿斯利康制药有限公司的注射用奥美拉唑钠40mg的</w:t>
      </w:r>
      <w:r>
        <w:rPr>
          <w:rFonts w:ascii="仿宋_GB2312" w:eastAsia="仿宋_GB2312"/>
        </w:rPr>
        <w:t>1535</w:t>
      </w:r>
      <w:r>
        <w:rPr>
          <w:rFonts w:hint="eastAsia" w:ascii="仿宋_GB2312" w:eastAsia="仿宋_GB2312"/>
        </w:rPr>
        <w:t>.</w:t>
      </w:r>
      <w:r>
        <w:rPr>
          <w:rFonts w:ascii="仿宋_GB2312" w:eastAsia="仿宋_GB2312"/>
        </w:rPr>
        <w:t>55</w:t>
      </w:r>
      <w:r>
        <w:rPr>
          <w:rFonts w:hint="eastAsia" w:ascii="仿宋_GB2312" w:eastAsia="仿宋_GB2312"/>
        </w:rPr>
        <w:t>万</w:t>
      </w:r>
      <w:r>
        <w:rPr>
          <w:rFonts w:ascii="仿宋_GB2312" w:eastAsia="仿宋_GB2312"/>
        </w:rPr>
        <w:t>元，最低为</w:t>
      </w:r>
      <w:r>
        <w:rPr>
          <w:rFonts w:hint="eastAsia" w:ascii="仿宋_GB2312" w:eastAsia="仿宋_GB2312"/>
        </w:rPr>
        <w:t>成都百裕制药股份有限公司的注射用泮托拉唑钠80</w:t>
      </w:r>
      <w:r>
        <w:rPr>
          <w:rFonts w:ascii="仿宋_GB2312" w:eastAsia="仿宋_GB2312"/>
        </w:rPr>
        <w:t>mg的3</w:t>
      </w:r>
      <w:r>
        <w:rPr>
          <w:rFonts w:hint="eastAsia" w:ascii="仿宋_GB2312" w:eastAsia="仿宋_GB2312"/>
        </w:rPr>
        <w:t>.</w:t>
      </w:r>
      <w:r>
        <w:rPr>
          <w:rFonts w:ascii="仿宋_GB2312" w:eastAsia="仿宋_GB2312"/>
        </w:rPr>
        <w:t>96</w:t>
      </w:r>
      <w:r>
        <w:rPr>
          <w:rFonts w:hint="eastAsia" w:ascii="仿宋_GB2312" w:eastAsia="仿宋_GB2312"/>
        </w:rPr>
        <w:t>万</w:t>
      </w:r>
      <w:r>
        <w:rPr>
          <w:rFonts w:ascii="仿宋_GB2312" w:eastAsia="仿宋_GB2312"/>
        </w:rPr>
        <w:t>元。</w:t>
      </w:r>
    </w:p>
    <w:p>
      <w:pPr>
        <w:spacing w:line="579" w:lineRule="exact"/>
        <w:ind w:firstLine="643" w:firstLineChars="200"/>
        <w:rPr>
          <w:rFonts w:ascii="仿宋_GB2312" w:eastAsia="仿宋_GB2312"/>
        </w:rPr>
      </w:pPr>
      <w:r>
        <w:rPr>
          <w:rFonts w:ascii="楷体_GB2312" w:eastAsia="楷体_GB2312"/>
          <w:b/>
        </w:rPr>
        <w:t>（三）完成进度。</w:t>
      </w:r>
      <w:r>
        <w:rPr>
          <w:rFonts w:hint="eastAsia" w:ascii="仿宋_GB2312" w:eastAsia="仿宋_GB2312"/>
        </w:rPr>
        <w:t>7个品规的全省采购总数量占约定采购总量的比例为30.21%，按具体企业的产品统计，完成进度最高的为珠海润都制药股份有限公司的雷贝拉唑钠肠溶胶囊20mg的75.91%，最低为卫材（中国）药业有限公司的雷贝拉唑钠肠溶胶囊20mg的8.62%。</w:t>
      </w:r>
    </w:p>
    <w:p>
      <w:pPr>
        <w:spacing w:line="579" w:lineRule="exact"/>
        <w:ind w:firstLine="643" w:firstLineChars="200"/>
        <w:rPr>
          <w:rFonts w:ascii="仿宋_GB2312" w:eastAsia="仿宋_GB2312"/>
        </w:rPr>
      </w:pPr>
      <w:r>
        <w:rPr>
          <w:rFonts w:ascii="楷体_GB2312" w:eastAsia="楷体_GB2312"/>
          <w:b/>
        </w:rPr>
        <w:t>（四）中选药占比。</w:t>
      </w:r>
      <w:r>
        <w:rPr>
          <w:rFonts w:hint="eastAsia" w:ascii="仿宋_GB2312" w:eastAsia="仿宋_GB2312"/>
        </w:rPr>
        <w:t>7个品规的全省采购总数量占同品规下所有药品采购总数量的比例为52.73%；按药品统计，最高为珠海润都制药股份有限公司的雷贝拉唑钠肠溶胶囊20mg的的88.62%，最低为卫材（中国）药业有限公司的雷贝拉唑20mg的5.03%。</w:t>
      </w:r>
    </w:p>
    <w:p>
      <w:pPr>
        <w:spacing w:line="579" w:lineRule="exact"/>
        <w:ind w:firstLine="643" w:firstLineChars="200"/>
        <w:rPr>
          <w:rFonts w:ascii="仿宋_GB2312" w:eastAsia="仿宋_GB2312"/>
        </w:rPr>
      </w:pPr>
      <w:r>
        <w:rPr>
          <w:rFonts w:ascii="楷体_GB2312" w:eastAsia="楷体_GB2312"/>
          <w:b/>
        </w:rPr>
        <w:t>（五）网上配送率。</w:t>
      </w:r>
      <w:r>
        <w:rPr>
          <w:rFonts w:hint="eastAsia" w:ascii="仿宋_GB2312" w:eastAsia="仿宋_GB2312"/>
        </w:rPr>
        <w:t>7</w:t>
      </w:r>
      <w:r>
        <w:rPr>
          <w:rFonts w:ascii="仿宋_GB2312" w:eastAsia="仿宋_GB2312"/>
        </w:rPr>
        <w:t>个品规的全省</w:t>
      </w:r>
      <w:r>
        <w:rPr>
          <w:rFonts w:hint="eastAsia" w:ascii="仿宋_GB2312" w:eastAsia="仿宋_GB2312"/>
        </w:rPr>
        <w:t>总体配送率为80.26%。按药品统计，最低为宜昌人福药业有限责任公司的注射用奥美拉唑钠40mg的35.91%，与包装数量较大至部分医疗机构订单数过大有关。</w:t>
      </w:r>
    </w:p>
    <w:p>
      <w:pPr>
        <w:ind w:firstLine="640" w:firstLineChars="200"/>
        <w:rPr>
          <w:rFonts w:ascii="仿宋_GB2312" w:eastAsia="仿宋_GB2312"/>
          <w:color w:val="FF0000"/>
        </w:rPr>
      </w:pPr>
    </w:p>
    <w:p>
      <w:pPr>
        <w:ind w:firstLine="640" w:firstLineChars="200"/>
        <w:rPr>
          <w:rFonts w:ascii="仿宋_GB2312" w:eastAsia="仿宋_GB2312"/>
          <w:color w:val="FF0000"/>
        </w:rPr>
        <w:sectPr>
          <w:footerReference r:id="rId3" w:type="even"/>
          <w:pgSz w:w="11906" w:h="16838"/>
          <w:pgMar w:top="1440" w:right="1797" w:bottom="1440" w:left="1797" w:header="851" w:footer="992" w:gutter="0"/>
          <w:pgNumType w:fmt="numberInDash"/>
          <w:cols w:space="425" w:num="1"/>
          <w:docGrid w:type="lines" w:linePitch="312" w:charSpace="0"/>
        </w:sectPr>
      </w:pPr>
    </w:p>
    <w:p>
      <w:pPr>
        <w:pStyle w:val="14"/>
        <w:spacing w:line="579" w:lineRule="exact"/>
        <w:ind w:firstLine="0" w:firstLineChars="0"/>
        <w:jc w:val="center"/>
        <w:outlineLvl w:val="0"/>
        <w:rPr>
          <w:rFonts w:ascii="黑体" w:eastAsia="黑体"/>
          <w:spacing w:val="-20"/>
          <w:sz w:val="32"/>
        </w:rPr>
      </w:pPr>
      <w:r>
        <w:rPr>
          <w:rFonts w:ascii="黑体" w:eastAsia="黑体"/>
          <w:sz w:val="32"/>
        </w:rPr>
        <w:t>附表1:</w:t>
      </w:r>
      <w:r>
        <w:rPr>
          <w:rFonts w:ascii="黑体" w:eastAsia="黑体"/>
          <w:spacing w:val="-20"/>
          <w:sz w:val="32"/>
        </w:rPr>
        <w:t>国家组织药品集中采购和使用试点扩大区域范围江西中选药品采购情况（截至</w:t>
      </w:r>
      <w:r>
        <w:rPr>
          <w:rFonts w:hint="eastAsia" w:ascii="黑体" w:eastAsia="黑体"/>
          <w:spacing w:val="-20"/>
          <w:sz w:val="32"/>
        </w:rPr>
        <w:t>2021年1月31日</w:t>
      </w:r>
      <w:r>
        <w:rPr>
          <w:rFonts w:ascii="黑体" w:eastAsia="黑体"/>
          <w:spacing w:val="-20"/>
          <w:sz w:val="32"/>
        </w:rPr>
        <w: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0" w:type="dxa"/>
          <w:right w:w="15" w:type="dxa"/>
        </w:tblCellMar>
      </w:tblPr>
      <w:tblGrid>
        <w:gridCol w:w="4980"/>
        <w:gridCol w:w="2574"/>
        <w:gridCol w:w="1958"/>
        <w:gridCol w:w="1362"/>
        <w:gridCol w:w="1558"/>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blHeader/>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药品</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采购数量（片/支/袋）</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采购金额（元）</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完成进度</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中选药占比</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网上配送率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阿托伐他汀口服常释剂型10mg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6465998</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775919.76</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39.18%</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96.78%</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阿托伐他汀口服常释剂型20mg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11544582</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2358393.18</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43.02%</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82.30%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瑞舒伐他汀口服常释剂型10mg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7757220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1768646.16</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42.28%</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98.13%</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瑞舒伐他汀口服常释剂型5mg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2593320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339292.7</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48.33%</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87.45%</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氯吡格雷口服常释剂型75mg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9110206</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23178966.98</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39.69%</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99.55%</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厄贝沙坦口服常释剂型75mg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18312356</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3552194.46</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40.63%</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99.99%</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氨氯地平口服常释剂型5mg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12744172</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764650.32</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25.33%</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78.80%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恩替卡韦口服常释剂型0.5mg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8242416</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2263720.68</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36.02%</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92.40%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艾司西酞普兰口服常释剂型10mg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770017</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3238526.71</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45.17%</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90.39%</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帕罗西汀口服常释剂型20mg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673622</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1048841.23</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46.90%</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99.71%</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奥氮平口服常释剂型10mg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954177</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5943159.6</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36.72%</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91.50%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奥氮平口服常释剂型5mg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1326612</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4738847.58</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39.66%</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97.64%</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头孢呋辛酯(头孢呋辛)口服常释剂型250mg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1778520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860359.05</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45.57%</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98.06%</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利培酮口服常释剂型1mg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4552440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546292.8</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35.63%</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91.57%</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吉非替尼口服常释剂型250mg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45330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2479551</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44.72%</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98.63%</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福辛普利口服常释剂型10mg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184478</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151313.36</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67.19%</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99.70%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厄贝沙坦氢氯噻嗪口服常释剂型150mg+12.5mg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3197026</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3260966.52</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42.92%</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97.70%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赖诺普利口服常释剂型10mg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95480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21994.5</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60.51%</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替诺福韦二吡呋酯口服常释剂型300mg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677250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256677.75</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40.67%</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82.35%</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氯沙坦口服常释剂型100mg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105490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188510.9</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40.43%</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99.14%</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氯沙坦口服常释剂型50mg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4454688</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4561884.57</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62.39%</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98.99%</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依那普利口服常释剂型10mg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2492096</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1390901.08</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52.41%</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99.60%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依那普利口服常释剂型5mg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1753984</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575526</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55.01%</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96.64%</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左乙拉西坦口服常释剂型250mg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750480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1795898.64</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66.04%</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99.71%</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伊马替尼口服常释剂型100mg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104640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1087228.3</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73.02%</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99.66%</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孟鲁司特口服常释剂型10mg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653295</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2532171.42</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54.68%</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99.98%</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蒙脱石口服散剂3g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1196604</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393882.15</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46.43%</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97.10%</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培美曲塞注射剂100mg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1555</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1240890</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26.20%</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86.01%</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培美曲塞注射剂500mg</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343</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938389.69</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24.93%</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99.42%</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氟比洛芬酯注射剂50mg/5ml</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122510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2689094.5</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46.06%</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95.61%</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sz w:val="24"/>
                <w:szCs w:val="24"/>
              </w:rPr>
            </w:pPr>
            <w:r>
              <w:rPr>
                <w:rFonts w:hint="eastAsia" w:ascii="Times New Roman"/>
                <w:sz w:val="24"/>
                <w:szCs w:val="24"/>
              </w:rPr>
              <w:t>右美托咪定注射剂0.2mg/2ml</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151030</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20086990</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50.27%</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99.79%</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cantSplit/>
          <w:trHeight w:val="397" w:hRule="atLeast"/>
        </w:trPr>
        <w:tc>
          <w:tcPr>
            <w:tcW w:w="178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textAlignment w:val="center"/>
              <w:rPr>
                <w:rFonts w:ascii="Times New Roman"/>
                <w:b/>
                <w:sz w:val="24"/>
                <w:szCs w:val="24"/>
              </w:rPr>
            </w:pPr>
            <w:r>
              <w:rPr>
                <w:rFonts w:hint="eastAsia" w:ascii="Times New Roman"/>
                <w:b/>
                <w:sz w:val="24"/>
                <w:szCs w:val="24"/>
              </w:rPr>
              <w:t>总计</w:t>
            </w:r>
          </w:p>
        </w:tc>
        <w:tc>
          <w:tcPr>
            <w:tcW w:w="92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b/>
                <w:bCs/>
                <w:sz w:val="24"/>
                <w:szCs w:val="24"/>
              </w:rPr>
            </w:pPr>
            <w:r>
              <w:rPr>
                <w:rFonts w:ascii="Times New Roman" w:hAnsi="Times New Roman"/>
                <w:b/>
                <w:bCs/>
                <w:sz w:val="24"/>
                <w:szCs w:val="24"/>
              </w:rPr>
              <w:t>102811937</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b/>
                <w:bCs/>
                <w:sz w:val="24"/>
                <w:szCs w:val="24"/>
              </w:rPr>
            </w:pPr>
            <w:r>
              <w:rPr>
                <w:rFonts w:ascii="Times New Roman" w:hAnsi="Times New Roman"/>
                <w:b/>
                <w:bCs/>
                <w:sz w:val="24"/>
                <w:szCs w:val="24"/>
              </w:rPr>
              <w:t>95029681.59</w:t>
            </w:r>
          </w:p>
        </w:tc>
        <w:tc>
          <w:tcPr>
            <w:tcW w:w="48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38.85%</w:t>
            </w:r>
          </w:p>
        </w:tc>
        <w:tc>
          <w:tcPr>
            <w:tcW w:w="55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92.44%</w:t>
            </w:r>
          </w:p>
        </w:tc>
        <w:tc>
          <w:tcPr>
            <w:tcW w:w="556"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84.75%</w:t>
            </w:r>
          </w:p>
        </w:tc>
      </w:tr>
    </w:tbl>
    <w:p>
      <w:pPr>
        <w:rPr>
          <w:rFonts w:ascii="仿宋_GB2312" w:eastAsia="仿宋_GB2312"/>
          <w:color w:val="FF0000"/>
        </w:rPr>
      </w:pPr>
      <w:r>
        <w:rPr>
          <w:rFonts w:ascii="仿宋_GB2312" w:eastAsia="仿宋_GB2312"/>
          <w:color w:val="FF0000"/>
        </w:rPr>
        <w:br w:type="page"/>
      </w:r>
    </w:p>
    <w:p>
      <w:pPr>
        <w:pStyle w:val="14"/>
        <w:spacing w:line="579" w:lineRule="exact"/>
        <w:ind w:firstLine="0" w:firstLineChars="0"/>
        <w:jc w:val="center"/>
        <w:outlineLvl w:val="0"/>
        <w:rPr>
          <w:rFonts w:ascii="黑体" w:eastAsia="黑体"/>
        </w:rPr>
      </w:pPr>
      <w:r>
        <w:rPr>
          <w:rFonts w:ascii="黑体" w:eastAsia="黑体"/>
          <w:sz w:val="32"/>
        </w:rPr>
        <w:t>附表2:第二批国家组织药品集中采购江西中选药品采购情况（截至</w:t>
      </w:r>
      <w:r>
        <w:rPr>
          <w:rFonts w:hint="eastAsia" w:ascii="黑体" w:eastAsia="黑体"/>
          <w:sz w:val="32"/>
        </w:rPr>
        <w:t>2021年1月31日</w:t>
      </w:r>
      <w:r>
        <w:rPr>
          <w:rFonts w:ascii="黑体" w:eastAsia="黑体"/>
          <w:sz w:val="32"/>
        </w:rPr>
        <w: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0" w:type="dxa"/>
          <w:right w:w="15" w:type="dxa"/>
        </w:tblCellMar>
      </w:tblPr>
      <w:tblGrid>
        <w:gridCol w:w="4837"/>
        <w:gridCol w:w="2333"/>
        <w:gridCol w:w="1718"/>
        <w:gridCol w:w="1642"/>
        <w:gridCol w:w="172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22" w:hRule="atLeast"/>
          <w:tblHeader/>
        </w:trPr>
        <w:tc>
          <w:tcPr>
            <w:tcW w:w="1729" w:type="pct"/>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药品</w:t>
            </w:r>
          </w:p>
        </w:tc>
        <w:tc>
          <w:tcPr>
            <w:tcW w:w="834" w:type="pct"/>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采购数量（片/支/袋）</w:t>
            </w:r>
          </w:p>
        </w:tc>
        <w:tc>
          <w:tcPr>
            <w:tcW w:w="614" w:type="pct"/>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采购金额（元）</w:t>
            </w:r>
          </w:p>
        </w:tc>
        <w:tc>
          <w:tcPr>
            <w:tcW w:w="587" w:type="pct"/>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完成进度</w:t>
            </w:r>
          </w:p>
        </w:tc>
        <w:tc>
          <w:tcPr>
            <w:tcW w:w="618" w:type="pct"/>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中选药占比</w:t>
            </w:r>
          </w:p>
        </w:tc>
        <w:tc>
          <w:tcPr>
            <w:tcW w:w="618" w:type="pct"/>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网上配送率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阿比特龙口服常释剂型0.25g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373800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13382040</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4792.31%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95.91%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阿德福韦酯口服常释剂型10mg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2736030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2462427</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496.11%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89.71%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阿卡波糖口服常释剂型50mg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141196260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25508292.44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313.80%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88.41%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阿卡波糖口服常释剂型100mg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3622200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1112015.4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175.69%</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89.34%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阿莫西林口服常释剂型0.25g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49230240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3273810.96</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398.27%</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82.53%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阿莫西林口服常释剂型0.5g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3854352</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443250.48</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57.33%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67.09%</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阿奇霉素口服常释剂型0.25g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2266824</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2402833.44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92.91%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78.79%</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安立生坦片剂5mg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20520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410400</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977.14%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81.40%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奥美沙坦酯口服常释剂型20mg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920304</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561385.44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222.89%</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86.22%</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比索洛尔口服常释剂型2.5mg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342300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127677.9</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97.41%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88.37%</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比索洛尔口服常释剂型5mg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4896850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3104602.9</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253.30%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83.27%</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对乙酰氨基酚口服常释剂型0.5g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1187200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66364.48</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157.10%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94.73%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多奈哌齐口服常释剂型5mg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1053094</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1197454.32</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256.54%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85.48%</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氟康唑口服常释剂型50mg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1666728</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469461.72</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154.38%</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88.56%</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福多司坦口服常释剂型0.2g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6336522</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3995421.6</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179.72%</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93.90%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格列美脲口服常释剂型2mg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33240060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2570564.64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305.13%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93.01%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甲硝唑口服常释剂型0.2g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16162300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819428.61</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266.85%</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92.62%</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聚乙二醇口服散剂10g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525720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621751.52</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222.95%</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98.08%</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坎地沙坦酯口服常释剂型4mg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10878350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2952695</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142.28%</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81.44%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克林霉素口服常释剂型0.15g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476232</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47623.2</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84.04%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79.05%</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铝碳酸镁咀嚼片0.5g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5127744</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1333213.44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339.32%</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95.00%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美洛昔康口服常释剂型7.5mg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1707500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458463.75</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259.62%</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93.91%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莫西沙星口服常释剂型0.4g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577020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1276992.39</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274.64%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89.10%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曲美他嗪缓释控释剂型35mg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6455070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3020972.76</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451.91%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93.23%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索利那新口服常释剂型5mg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63400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210234.4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184.30%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75.13%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他达拉非片剂20mg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51090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2402724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555.33%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92.06%</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特拉唑嗪口服常释剂型2mg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3904698</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1888200.39</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271.73%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88.12%</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替吉奥口服常释剂型20mg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1170736</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9140103.2</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122.76%</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86.24%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替吉奥口服常释剂型25mg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568260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5262899.4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137.89%</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84.67%</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头孢氨苄口服常释剂型0.25g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3585240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305342.94</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210.20%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89.84%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头孢拉定口服常释剂型0.25g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6502680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775986.48</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288.48%</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75.04%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辛伐他汀口服常释剂型20mg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23735796</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2509212.72</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342.94%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93.74%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73.98%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异烟肼口服常释剂型0.1g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10659100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424232.18</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341.21%</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88.43%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吲达帕胺口服常释剂型2.5mg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4189060</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291139.67</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254.59%</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95.34%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注射用紫杉醇（白蛋白结合型）粉针剂100mg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51771</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40381380</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635.62%</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89.14%</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729" w:type="pct"/>
            <w:shd w:val="clear" w:color="auto" w:fill="auto"/>
            <w:noWrap/>
            <w:vAlign w:val="center"/>
          </w:tcPr>
          <w:p>
            <w:pPr>
              <w:spacing w:line="360" w:lineRule="exact"/>
              <w:jc w:val="center"/>
              <w:textAlignment w:val="center"/>
              <w:rPr>
                <w:rFonts w:ascii="Times New Roman"/>
                <w:sz w:val="24"/>
                <w:szCs w:val="24"/>
              </w:rPr>
            </w:pPr>
            <w:r>
              <w:rPr>
                <w:rFonts w:ascii="Times New Roman"/>
                <w:sz w:val="24"/>
                <w:szCs w:val="24"/>
              </w:rPr>
              <w:t>左西替利嗪口服常释剂型5mg</w:t>
            </w:r>
          </w:p>
        </w:tc>
        <w:tc>
          <w:tcPr>
            <w:tcW w:w="83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1674828</w:t>
            </w:r>
          </w:p>
        </w:tc>
        <w:tc>
          <w:tcPr>
            <w:tcW w:w="614"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481513.05</w:t>
            </w:r>
          </w:p>
        </w:tc>
        <w:tc>
          <w:tcPr>
            <w:tcW w:w="587"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226.60%</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89.33%</w:t>
            </w:r>
          </w:p>
        </w:tc>
        <w:tc>
          <w:tcPr>
            <w:tcW w:w="618" w:type="pct"/>
            <w:shd w:val="clear" w:color="auto" w:fill="auto"/>
            <w:noWrap/>
            <w:vAlign w:val="center"/>
          </w:tcPr>
          <w:p>
            <w:pPr>
              <w:spacing w:line="320" w:lineRule="exact"/>
              <w:jc w:val="center"/>
              <w:rPr>
                <w:rFonts w:ascii="Times New Roman" w:hAnsi="Times New Roman"/>
                <w:sz w:val="24"/>
                <w:szCs w:val="24"/>
              </w:rPr>
            </w:pPr>
            <w:r>
              <w:rPr>
                <w:rFonts w:ascii="Times New Roman" w:hAnsi="Times New Roman"/>
                <w:sz w:val="24"/>
                <w:szCs w:val="24"/>
              </w:rPr>
              <w:t>98.14%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97" w:hRule="atLeast"/>
        </w:trPr>
        <w:tc>
          <w:tcPr>
            <w:tcW w:w="1729" w:type="pct"/>
            <w:shd w:val="clear" w:color="auto" w:fill="auto"/>
            <w:noWrap/>
            <w:vAlign w:val="center"/>
          </w:tcPr>
          <w:p>
            <w:pPr>
              <w:spacing w:line="360" w:lineRule="exact"/>
              <w:jc w:val="center"/>
              <w:textAlignment w:val="center"/>
              <w:rPr>
                <w:rFonts w:ascii="Times New Roman"/>
                <w:b/>
                <w:sz w:val="24"/>
                <w:szCs w:val="24"/>
              </w:rPr>
            </w:pPr>
            <w:r>
              <w:rPr>
                <w:rFonts w:ascii="Times New Roman"/>
                <w:b/>
                <w:sz w:val="24"/>
                <w:szCs w:val="24"/>
              </w:rPr>
              <w:t>总计</w:t>
            </w:r>
          </w:p>
        </w:tc>
        <w:tc>
          <w:tcPr>
            <w:tcW w:w="834" w:type="pct"/>
            <w:shd w:val="clear" w:color="auto" w:fill="auto"/>
            <w:noWrap/>
            <w:vAlign w:val="center"/>
          </w:tcPr>
          <w:p>
            <w:pPr>
              <w:spacing w:line="320" w:lineRule="exact"/>
              <w:jc w:val="center"/>
              <w:rPr>
                <w:rFonts w:ascii="Times New Roman" w:hAnsi="Times New Roman"/>
                <w:b/>
                <w:sz w:val="24"/>
                <w:szCs w:val="24"/>
              </w:rPr>
            </w:pPr>
            <w:r>
              <w:rPr>
                <w:rFonts w:ascii="Times New Roman" w:hAnsi="Times New Roman"/>
                <w:b/>
                <w:sz w:val="24"/>
                <w:szCs w:val="24"/>
              </w:rPr>
              <w:t>351009879</w:t>
            </w:r>
          </w:p>
        </w:tc>
        <w:tc>
          <w:tcPr>
            <w:tcW w:w="614" w:type="pct"/>
            <w:shd w:val="clear" w:color="auto" w:fill="auto"/>
            <w:noWrap/>
            <w:vAlign w:val="center"/>
          </w:tcPr>
          <w:p>
            <w:pPr>
              <w:spacing w:line="320" w:lineRule="exact"/>
              <w:jc w:val="center"/>
              <w:rPr>
                <w:rFonts w:ascii="Times New Roman" w:hAnsi="Times New Roman"/>
                <w:b/>
                <w:sz w:val="24"/>
                <w:szCs w:val="24"/>
              </w:rPr>
            </w:pPr>
            <w:r>
              <w:rPr>
                <w:rFonts w:ascii="Times New Roman" w:hAnsi="Times New Roman"/>
                <w:b/>
                <w:sz w:val="24"/>
                <w:szCs w:val="24"/>
              </w:rPr>
              <w:t>135692111.8</w:t>
            </w:r>
          </w:p>
        </w:tc>
        <w:tc>
          <w:tcPr>
            <w:tcW w:w="587" w:type="pct"/>
            <w:shd w:val="clear" w:color="auto" w:fill="auto"/>
            <w:noWrap/>
            <w:vAlign w:val="center"/>
          </w:tcPr>
          <w:p>
            <w:pPr>
              <w:spacing w:line="320" w:lineRule="exact"/>
              <w:jc w:val="center"/>
              <w:rPr>
                <w:rFonts w:ascii="Times New Roman" w:hAnsi="Times New Roman"/>
                <w:b/>
                <w:sz w:val="24"/>
                <w:szCs w:val="24"/>
              </w:rPr>
            </w:pPr>
            <w:r>
              <w:rPr>
                <w:rFonts w:ascii="Times New Roman" w:hAnsi="Times New Roman"/>
                <w:b/>
                <w:sz w:val="24"/>
                <w:szCs w:val="24"/>
              </w:rPr>
              <w:t>278.44%</w:t>
            </w:r>
          </w:p>
        </w:tc>
        <w:tc>
          <w:tcPr>
            <w:tcW w:w="618" w:type="pct"/>
            <w:shd w:val="clear" w:color="auto" w:fill="auto"/>
            <w:noWrap/>
            <w:vAlign w:val="center"/>
          </w:tcPr>
          <w:p>
            <w:pPr>
              <w:spacing w:line="320" w:lineRule="exact"/>
              <w:jc w:val="center"/>
              <w:rPr>
                <w:rFonts w:ascii="Times New Roman" w:hAnsi="Times New Roman"/>
                <w:b/>
                <w:sz w:val="24"/>
                <w:szCs w:val="24"/>
              </w:rPr>
            </w:pPr>
            <w:r>
              <w:rPr>
                <w:rFonts w:ascii="Times New Roman" w:hAnsi="Times New Roman"/>
                <w:b/>
                <w:sz w:val="24"/>
                <w:szCs w:val="24"/>
              </w:rPr>
              <w:t>87.89%</w:t>
            </w:r>
          </w:p>
        </w:tc>
        <w:tc>
          <w:tcPr>
            <w:tcW w:w="618" w:type="pct"/>
            <w:shd w:val="clear" w:color="auto" w:fill="auto"/>
            <w:noWrap/>
            <w:vAlign w:val="center"/>
          </w:tcPr>
          <w:p>
            <w:pPr>
              <w:spacing w:line="320" w:lineRule="exact"/>
              <w:jc w:val="center"/>
              <w:rPr>
                <w:rFonts w:ascii="Times New Roman" w:hAnsi="Times New Roman"/>
                <w:b/>
                <w:sz w:val="24"/>
                <w:szCs w:val="24"/>
              </w:rPr>
            </w:pPr>
            <w:r>
              <w:rPr>
                <w:rFonts w:ascii="Times New Roman" w:hAnsi="Times New Roman"/>
                <w:b/>
                <w:sz w:val="24"/>
                <w:szCs w:val="24"/>
              </w:rPr>
              <w:t>77.83%</w:t>
            </w:r>
          </w:p>
        </w:tc>
      </w:tr>
    </w:tbl>
    <w:p>
      <w:pPr>
        <w:spacing w:line="20" w:lineRule="exact"/>
        <w:ind w:firstLine="643" w:firstLineChars="200"/>
        <w:rPr>
          <w:rFonts w:ascii="仿宋_GB2312" w:eastAsia="仿宋_GB2312"/>
          <w:b/>
          <w:color w:val="FF0000"/>
        </w:rPr>
      </w:pPr>
    </w:p>
    <w:p>
      <w:pPr>
        <w:spacing w:line="20" w:lineRule="exact"/>
        <w:ind w:firstLine="643" w:firstLineChars="200"/>
        <w:rPr>
          <w:rFonts w:ascii="仿宋_GB2312" w:eastAsia="仿宋_GB2312"/>
          <w:b/>
          <w:color w:val="FF0000"/>
        </w:rPr>
      </w:pPr>
    </w:p>
    <w:p>
      <w:pPr>
        <w:pStyle w:val="14"/>
        <w:spacing w:line="20" w:lineRule="exact"/>
        <w:ind w:firstLine="0" w:firstLineChars="0"/>
        <w:jc w:val="center"/>
        <w:outlineLvl w:val="0"/>
        <w:rPr>
          <w:rFonts w:ascii="黑体" w:eastAsia="黑体"/>
          <w:color w:val="FF0000"/>
          <w:sz w:val="32"/>
        </w:rPr>
      </w:pPr>
      <w:r>
        <w:rPr>
          <w:rFonts w:ascii="黑体" w:eastAsia="黑体"/>
          <w:color w:val="FF0000"/>
          <w:sz w:val="32"/>
        </w:rPr>
        <w:br w:type="page"/>
      </w:r>
    </w:p>
    <w:p>
      <w:pPr>
        <w:pStyle w:val="14"/>
        <w:spacing w:line="579" w:lineRule="exact"/>
        <w:ind w:firstLine="0" w:firstLineChars="0"/>
        <w:jc w:val="center"/>
        <w:outlineLvl w:val="0"/>
        <w:rPr>
          <w:rFonts w:ascii="黑体" w:eastAsia="黑体"/>
          <w:sz w:val="32"/>
        </w:rPr>
      </w:pPr>
      <w:r>
        <w:rPr>
          <w:rFonts w:ascii="黑体" w:eastAsia="黑体"/>
          <w:sz w:val="32"/>
        </w:rPr>
        <w:t>附表3:第</w:t>
      </w:r>
      <w:r>
        <w:rPr>
          <w:rFonts w:hint="eastAsia" w:ascii="黑体" w:eastAsia="黑体"/>
          <w:sz w:val="32"/>
        </w:rPr>
        <w:t>三</w:t>
      </w:r>
      <w:r>
        <w:rPr>
          <w:rFonts w:ascii="黑体" w:eastAsia="黑体"/>
          <w:sz w:val="32"/>
        </w:rPr>
        <w:t>批国家组织药品集中采购江西中选药品采购情况（截至</w:t>
      </w:r>
      <w:r>
        <w:rPr>
          <w:rFonts w:hint="eastAsia" w:ascii="黑体" w:eastAsia="黑体"/>
          <w:sz w:val="32"/>
        </w:rPr>
        <w:t>2021年1月31日</w:t>
      </w:r>
      <w:r>
        <w:rPr>
          <w:rFonts w:ascii="黑体" w:eastAsia="黑体"/>
          <w:sz w:val="32"/>
        </w:rPr>
        <w:t>）</w:t>
      </w:r>
    </w:p>
    <w:tbl>
      <w:tblPr>
        <w:tblStyle w:val="6"/>
        <w:tblW w:w="13452" w:type="dxa"/>
        <w:jc w:val="center"/>
        <w:tblLayout w:type="autofit"/>
        <w:tblCellMar>
          <w:top w:w="0" w:type="dxa"/>
          <w:left w:w="108" w:type="dxa"/>
          <w:bottom w:w="0" w:type="dxa"/>
          <w:right w:w="108" w:type="dxa"/>
        </w:tblCellMar>
      </w:tblPr>
      <w:tblGrid>
        <w:gridCol w:w="4425"/>
        <w:gridCol w:w="2552"/>
        <w:gridCol w:w="1842"/>
        <w:gridCol w:w="1560"/>
        <w:gridCol w:w="1559"/>
        <w:gridCol w:w="1514"/>
      </w:tblGrid>
      <w:tr>
        <w:tblPrEx>
          <w:tblCellMar>
            <w:top w:w="0" w:type="dxa"/>
            <w:left w:w="108" w:type="dxa"/>
            <w:bottom w:w="0" w:type="dxa"/>
            <w:right w:w="108" w:type="dxa"/>
          </w:tblCellMar>
        </w:tblPrEx>
        <w:trPr>
          <w:trHeight w:val="402" w:hRule="atLeast"/>
          <w:tblHeader/>
          <w:jc w:val="center"/>
        </w:trPr>
        <w:tc>
          <w:tcPr>
            <w:tcW w:w="44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药  品</w:t>
            </w:r>
          </w:p>
        </w:tc>
        <w:tc>
          <w:tcPr>
            <w:tcW w:w="25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采购数量（片/支/袋）</w:t>
            </w:r>
          </w:p>
        </w:tc>
        <w:tc>
          <w:tcPr>
            <w:tcW w:w="184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采购金额（元）</w:t>
            </w:r>
          </w:p>
        </w:tc>
        <w:tc>
          <w:tcPr>
            <w:tcW w:w="156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完成进度</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中选药占比</w:t>
            </w:r>
          </w:p>
        </w:tc>
        <w:tc>
          <w:tcPr>
            <w:tcW w:w="1514"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网上配送率</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阿莫西林颗粒剂0.125g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2646240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460886.8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121.17%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92.15%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92.07%</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阿那曲唑口服常释剂型1mg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348656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504804.08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74.97%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92.16%</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99.08%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阿哌沙班口服常释剂型2.5mg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31444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30725.28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116.03%</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90.35%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阿扎胞苷注射剂100mg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2581</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893026</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511.09%</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93.18%</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88.89%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氨基葡萄糖口服常释剂型0.25g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3810288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1457435.16</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33.50%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94.08%</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99.45%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氨溴索口服常释剂型30mg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4741150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497820.75</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87.45%</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90.84%</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86.42%</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奥氮平口腔崩解片5mg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397404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178831.8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1133.30%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99.65%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79.41%</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奥氮平口腔崩解片10mg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38465</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30167.55</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214.05%</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98.74%</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奥美拉唑口服常释剂型20mg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5033238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766195.34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47.78%</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88.65%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42.48%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布洛芬缓释控释剂型0.3g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1610928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322185.6</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34.38%</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67.09%</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52.08%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布洛芬颗粒剂0.2g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230076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37770.81</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94.77%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95.80%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91.37%</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地氯雷他定口服常释剂型5mg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735096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347026.57</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203.21%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97.94%</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99.65%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多潘立酮口服常释剂型10mg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4743720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754251.48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53.90%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82.65%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97.74%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二甲双胍缓释控释剂型0.5g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5821596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663015.1</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60.07%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68.61%</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41.44%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二甲双胍口服常释剂型0.5g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16369668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1068575.55</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20.66%</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58.73%</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36.31%</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非布司他口服常释剂型40mg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5158440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8247977.1</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173.40%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97.03%</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90.21%</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非那雄胺口服常释剂型1mg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29344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72312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388.30%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93.83%</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54.15%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非那雄胺口服常释剂型5mg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1415900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622996</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58.84%</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86.86%</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98.38%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氟西汀口服常释剂型20mg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128590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375850.2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89.71%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50.91%</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93.98%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枸橼酸西地那非片剂25mg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12108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25204.82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2533.05%</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94.04%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枸橼酸西地那非片剂50mg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6419</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23163.42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455.57%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97.45%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枸橼酸西地那非片剂100mg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4941</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31276.53</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207.61%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96.77%</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93.73%</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环丙沙星口服常释剂型0.25g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129492</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37552.68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66.17%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93.54%</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92.83%</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甲钴胺口服常释剂型0.5mg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13206528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2330401.92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86.40%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89.22%</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94.89%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卡培他滨口服常释剂型0.15g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96160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88563.36</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85.36%</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84.50%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77.44%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卡培他滨口服常释剂型0.5g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1289028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2964764.4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76.51%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80.85%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91.94%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卡托普利口服常释剂型25mg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3133000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68299.4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51.76%</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90.31%</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93.96%</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克拉霉素口服常释剂型250mg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1012128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322615.8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79.02%</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94.89%</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88.08%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喹硫平口服常释剂型25mg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28056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11022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85.97%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54.05%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53.81%</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喹硫平口服常释剂型0.1g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1469400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1663360.8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75.81%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75.48%</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84.67%</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喹硫平口服常释剂型0.2g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657264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1294399.29</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47.40%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54.28%</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99.99%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来曲唑口服常释剂型2.5mg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1057050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3025981.8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139.31%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90.46%</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80.83%</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利奈唑胺口服常释剂型600mg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16578</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776403</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505.43%</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97.59%</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95.68%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氯氮平口服常释剂型25mg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8078100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127633.98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41.40%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65.40%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57.10%</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美金刚口服常释剂型10mg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282744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324549.72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97.04%</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84.54%</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88.39%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孟鲁司特咀嚼片4mg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222260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104906.72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86.08%</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96.02%</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99.87%</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孟鲁司特咀嚼片5mg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322819</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231968.51</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51.84%</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96.18%</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91.33%</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孟鲁司特颗粒剂0.5g:4mg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316780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505580.88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640.01%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99.13%</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99.33%</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莫西沙星氯化钠注射剂250ml:莫西沙星0.4g与氯化钠2.0g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118593</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3889850.4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103.61%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82.42%</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90.20%</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匹伐他汀口服常释剂型1mg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265734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120475.35</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13.50%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67.85%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72.09%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匹伐他汀口服常释剂型2mg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3319925</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2559797.4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79.49%</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95.22%</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94.38%</w:t>
            </w:r>
          </w:p>
        </w:tc>
      </w:tr>
      <w:tr>
        <w:tblPrEx>
          <w:tblCellMar>
            <w:top w:w="0" w:type="dxa"/>
            <w:left w:w="108" w:type="dxa"/>
            <w:bottom w:w="0" w:type="dxa"/>
            <w:right w:w="108" w:type="dxa"/>
          </w:tblCellMar>
        </w:tblPrEx>
        <w:trPr>
          <w:trHeight w:val="9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普芦卡必利口服常释剂型1mg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1680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1750.7</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289.16%</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36.84%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普芦卡必利口服常释剂型2mg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19200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34016</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220.84%</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95.81%</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64.99%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曲美他嗪口服常释剂型20mg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2769780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265437.25</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50.06%</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97.37%</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99.98%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塞来昔布口服常释剂型0.2g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994620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310984.52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36.29%</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63.51%</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23.57%</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舍曲林口服常释剂型50mg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1248156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1734936.84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77.23%</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68.33%</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95.53%</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坦洛新（坦索罗辛）缓释控释剂型0.2mg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2624250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1320872.5</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123.42%</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93.26%</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84.79%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碳酸氢钠口服常释剂型0.5g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7718400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747141.12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55.85%</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92.06%</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96.49%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替格瑞洛口服常释剂型90mg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2711352</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6100542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94.67%</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85.76%</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87.38%</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头孢地尼口服常释剂型100mg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910380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886373.14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23.73%</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91.93%</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89.86%</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头孢克洛口服常释剂型0.25g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752412</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500980.99</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74.72%</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96.25%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96.09%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托法替布口服常释剂型5mg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142716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626931</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2140.95%</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89.12%</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97.19%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维格列汀口服常释剂型50mg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437864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343386.12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52.52%</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94.85%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86.29%</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维生素B6口服常释剂型10mg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4584800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339733.68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62.04%</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84.75%</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99.25%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西酞普兰口服常释剂型20mg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201656</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517751.88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69.20%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71.71%</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77.11%</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西替利嗪口服常释剂型10mg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368784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44049.2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43.35%</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90.22%</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77.21%</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缬沙坦口服常释剂型80mg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6209064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1488450.62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90.78%</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90.53%</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96.91%</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盐酸达泊西汀片剂30mg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3814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128493.66</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107.32%</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87.00%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依托考昔口服常释剂型30mg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748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11.96%</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58.82%</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依托考昔口服常释剂型60mg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185860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472827.84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109.26%</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88.87%</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97.35%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依托考昔口服常释剂型120mg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325</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1405.3</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270.83%</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52.00%</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乙胺丁醇口服常释剂型0.25g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3551800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503645.24</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63.44%</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83.61%</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88.25%</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右佐匹克隆口服常释剂型3mg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912212</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736936.98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121.61%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99.87%</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67.04%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左氧氟沙星滴眼剂5ml:24.4mg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176984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1230038.8</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73.00%</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89.06%</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94.02%</w:t>
            </w:r>
          </w:p>
        </w:tc>
      </w:tr>
      <w:tr>
        <w:tblPrEx>
          <w:tblCellMar>
            <w:top w:w="0" w:type="dxa"/>
            <w:left w:w="108" w:type="dxa"/>
            <w:bottom w:w="0" w:type="dxa"/>
            <w:right w:w="108" w:type="dxa"/>
          </w:tblCellMar>
        </w:tblPrEx>
        <w:trPr>
          <w:trHeight w:val="261"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左乙拉西坦口服液体剂10%（150ml:15g）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1414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53732</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41.81%</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99.79%</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100.00%</w:t>
            </w:r>
          </w:p>
        </w:tc>
      </w:tr>
      <w:tr>
        <w:tblPrEx>
          <w:tblCellMar>
            <w:top w:w="0" w:type="dxa"/>
            <w:left w:w="108" w:type="dxa"/>
            <w:bottom w:w="0" w:type="dxa"/>
            <w:right w:w="108" w:type="dxa"/>
          </w:tblCellMar>
        </w:tblPrEx>
        <w:trPr>
          <w:trHeight w:val="397"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sz w:val="24"/>
                <w:szCs w:val="24"/>
              </w:rPr>
            </w:pPr>
            <w:r>
              <w:rPr>
                <w:rFonts w:ascii="Times New Roman" w:hAnsi="Times New Roman" w:eastAsiaTheme="minorEastAsia"/>
                <w:sz w:val="24"/>
                <w:szCs w:val="24"/>
              </w:rPr>
              <w:t>左乙拉西坦注射用浓溶液5ml:500mg</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19380</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1908930</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793.29%</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97.00%</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sz w:val="24"/>
                <w:szCs w:val="24"/>
              </w:rPr>
            </w:pPr>
            <w:r>
              <w:rPr>
                <w:rFonts w:ascii="Times New Roman" w:hAnsi="Times New Roman"/>
                <w:sz w:val="24"/>
                <w:szCs w:val="24"/>
              </w:rPr>
              <w:t>75.74%</w:t>
            </w:r>
          </w:p>
        </w:tc>
      </w:tr>
      <w:tr>
        <w:tblPrEx>
          <w:tblCellMar>
            <w:top w:w="0" w:type="dxa"/>
            <w:left w:w="108" w:type="dxa"/>
            <w:bottom w:w="0" w:type="dxa"/>
            <w:right w:w="108" w:type="dxa"/>
          </w:tblCellMar>
        </w:tblPrEx>
        <w:trPr>
          <w:trHeight w:val="270" w:hRule="atLeast"/>
          <w:jc w:val="center"/>
        </w:trPr>
        <w:tc>
          <w:tcPr>
            <w:tcW w:w="4425" w:type="dxa"/>
            <w:tcBorders>
              <w:top w:val="nil"/>
              <w:left w:val="single" w:color="auto" w:sz="4" w:space="0"/>
              <w:bottom w:val="single" w:color="auto" w:sz="4" w:space="0"/>
              <w:right w:val="single" w:color="auto" w:sz="4" w:space="0"/>
            </w:tcBorders>
            <w:shd w:val="clear" w:color="auto" w:fill="auto"/>
            <w:noWrap/>
            <w:vAlign w:val="center"/>
          </w:tcPr>
          <w:p>
            <w:pPr>
              <w:spacing w:line="30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总计</w:t>
            </w:r>
          </w:p>
        </w:tc>
        <w:tc>
          <w:tcPr>
            <w:tcW w:w="255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b/>
                <w:bCs/>
                <w:sz w:val="24"/>
                <w:szCs w:val="24"/>
              </w:rPr>
            </w:pPr>
            <w:r>
              <w:rPr>
                <w:rFonts w:ascii="Times New Roman" w:hAnsi="Times New Roman"/>
                <w:b/>
                <w:bCs/>
                <w:sz w:val="24"/>
                <w:szCs w:val="24"/>
              </w:rPr>
              <w:t>124885334</w:t>
            </w:r>
          </w:p>
        </w:tc>
        <w:tc>
          <w:tcPr>
            <w:tcW w:w="1842"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b/>
                <w:bCs/>
                <w:sz w:val="24"/>
                <w:szCs w:val="24"/>
              </w:rPr>
            </w:pPr>
            <w:r>
              <w:rPr>
                <w:rFonts w:ascii="Times New Roman" w:hAnsi="Times New Roman"/>
                <w:b/>
                <w:bCs/>
                <w:sz w:val="24"/>
                <w:szCs w:val="24"/>
              </w:rPr>
              <w:t>58159720.73</w:t>
            </w:r>
          </w:p>
        </w:tc>
        <w:tc>
          <w:tcPr>
            <w:tcW w:w="1560"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b/>
                <w:bCs/>
                <w:sz w:val="24"/>
                <w:szCs w:val="24"/>
              </w:rPr>
            </w:pPr>
            <w:r>
              <w:rPr>
                <w:rFonts w:ascii="Times New Roman" w:hAnsi="Times New Roman"/>
                <w:b/>
                <w:bCs/>
                <w:sz w:val="24"/>
                <w:szCs w:val="24"/>
              </w:rPr>
              <w:t>66.42%</w:t>
            </w:r>
          </w:p>
        </w:tc>
        <w:tc>
          <w:tcPr>
            <w:tcW w:w="1559"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b/>
                <w:bCs/>
                <w:sz w:val="24"/>
                <w:szCs w:val="24"/>
              </w:rPr>
            </w:pPr>
            <w:r>
              <w:rPr>
                <w:rFonts w:ascii="Times New Roman" w:hAnsi="Times New Roman"/>
                <w:b/>
                <w:bCs/>
                <w:sz w:val="24"/>
                <w:szCs w:val="24"/>
              </w:rPr>
              <w:t>79.98%</w:t>
            </w:r>
          </w:p>
        </w:tc>
        <w:tc>
          <w:tcPr>
            <w:tcW w:w="1514" w:type="dxa"/>
            <w:tcBorders>
              <w:top w:val="nil"/>
              <w:left w:val="nil"/>
              <w:bottom w:val="single" w:color="auto" w:sz="4" w:space="0"/>
              <w:right w:val="single" w:color="auto" w:sz="4" w:space="0"/>
            </w:tcBorders>
            <w:shd w:val="clear" w:color="auto" w:fill="auto"/>
            <w:noWrap/>
            <w:vAlign w:val="center"/>
          </w:tcPr>
          <w:p>
            <w:pPr>
              <w:spacing w:line="300" w:lineRule="exact"/>
              <w:jc w:val="center"/>
              <w:rPr>
                <w:rFonts w:ascii="Times New Roman" w:hAnsi="Times New Roman"/>
                <w:b/>
                <w:bCs/>
                <w:sz w:val="24"/>
                <w:szCs w:val="24"/>
              </w:rPr>
            </w:pPr>
            <w:r>
              <w:rPr>
                <w:rFonts w:ascii="Times New Roman" w:hAnsi="Times New Roman"/>
                <w:b/>
                <w:bCs/>
                <w:sz w:val="24"/>
                <w:szCs w:val="24"/>
              </w:rPr>
              <w:t>64.80%</w:t>
            </w:r>
          </w:p>
        </w:tc>
      </w:tr>
    </w:tbl>
    <w:p>
      <w:pPr>
        <w:rPr>
          <w:rFonts w:ascii="仿宋_GB2312" w:eastAsia="仿宋_GB2312"/>
          <w:color w:val="FF0000"/>
        </w:rPr>
      </w:pPr>
      <w:r>
        <w:rPr>
          <w:rFonts w:ascii="仿宋_GB2312" w:eastAsia="仿宋_GB2312"/>
          <w:color w:val="FF0000"/>
        </w:rPr>
        <w:br w:type="page"/>
      </w:r>
    </w:p>
    <w:p>
      <w:pPr>
        <w:pStyle w:val="14"/>
        <w:spacing w:line="579" w:lineRule="exact"/>
        <w:ind w:firstLine="0" w:firstLineChars="0"/>
        <w:jc w:val="center"/>
        <w:outlineLvl w:val="0"/>
        <w:rPr>
          <w:rFonts w:ascii="黑体" w:eastAsia="黑体"/>
        </w:rPr>
      </w:pPr>
      <w:r>
        <w:rPr>
          <w:rFonts w:ascii="黑体" w:eastAsia="黑体"/>
          <w:sz w:val="32"/>
        </w:rPr>
        <w:t>附表</w:t>
      </w:r>
      <w:r>
        <w:rPr>
          <w:rFonts w:hint="eastAsia" w:ascii="黑体" w:eastAsia="黑体"/>
          <w:sz w:val="32"/>
        </w:rPr>
        <w:t>4</w:t>
      </w:r>
      <w:r>
        <w:rPr>
          <w:rFonts w:ascii="黑体" w:eastAsia="黑体"/>
          <w:sz w:val="32"/>
        </w:rPr>
        <w:t>:第</w:t>
      </w:r>
      <w:r>
        <w:rPr>
          <w:rFonts w:hint="eastAsia" w:ascii="黑体" w:eastAsia="黑体"/>
          <w:sz w:val="32"/>
        </w:rPr>
        <w:t>一</w:t>
      </w:r>
      <w:r>
        <w:rPr>
          <w:rFonts w:ascii="黑体" w:eastAsia="黑体"/>
          <w:sz w:val="32"/>
        </w:rPr>
        <w:t>批</w:t>
      </w:r>
      <w:r>
        <w:rPr>
          <w:rFonts w:hint="eastAsia" w:ascii="黑体" w:eastAsia="黑体"/>
          <w:sz w:val="32"/>
        </w:rPr>
        <w:t>江西省</w:t>
      </w:r>
      <w:r>
        <w:rPr>
          <w:rFonts w:ascii="黑体" w:eastAsia="黑体"/>
          <w:sz w:val="32"/>
        </w:rPr>
        <w:t>组织药品</w:t>
      </w:r>
      <w:r>
        <w:rPr>
          <w:rFonts w:hint="eastAsia" w:ascii="黑体" w:eastAsia="黑体"/>
          <w:sz w:val="32"/>
        </w:rPr>
        <w:t>带量</w:t>
      </w:r>
      <w:r>
        <w:rPr>
          <w:rFonts w:ascii="黑体" w:eastAsia="黑体"/>
          <w:sz w:val="32"/>
        </w:rPr>
        <w:t>采购中选药品采购情况（截至</w:t>
      </w:r>
      <w:r>
        <w:rPr>
          <w:rFonts w:hint="eastAsia" w:ascii="黑体" w:eastAsia="黑体"/>
          <w:sz w:val="32"/>
        </w:rPr>
        <w:t>2021年1月31日</w:t>
      </w:r>
      <w:r>
        <w:rPr>
          <w:rFonts w:ascii="黑体" w:eastAsia="黑体"/>
          <w:sz w:val="32"/>
        </w:rPr>
        <w:t>）</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0" w:type="dxa"/>
          <w:right w:w="15" w:type="dxa"/>
        </w:tblCellMar>
      </w:tblPr>
      <w:tblGrid>
        <w:gridCol w:w="3134"/>
        <w:gridCol w:w="3828"/>
        <w:gridCol w:w="1275"/>
        <w:gridCol w:w="1420"/>
        <w:gridCol w:w="1415"/>
        <w:gridCol w:w="1560"/>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522" w:hRule="atLeast"/>
          <w:tblHeader/>
        </w:trPr>
        <w:tc>
          <w:tcPr>
            <w:tcW w:w="1121"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药品</w:t>
            </w:r>
          </w:p>
        </w:tc>
        <w:tc>
          <w:tcPr>
            <w:tcW w:w="1369"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生产企业</w:t>
            </w:r>
          </w:p>
        </w:tc>
        <w:tc>
          <w:tcPr>
            <w:tcW w:w="456"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采购数量（片/支/袋）</w:t>
            </w:r>
          </w:p>
        </w:tc>
        <w:tc>
          <w:tcPr>
            <w:tcW w:w="508"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采购金额（元）</w:t>
            </w:r>
          </w:p>
        </w:tc>
        <w:tc>
          <w:tcPr>
            <w:tcW w:w="506"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完成进度</w:t>
            </w:r>
          </w:p>
        </w:tc>
        <w:tc>
          <w:tcPr>
            <w:tcW w:w="558"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中选药占比</w:t>
            </w:r>
          </w:p>
        </w:tc>
        <w:tc>
          <w:tcPr>
            <w:tcW w:w="482"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网上配送率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注射用奥美拉唑钠40mg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阿斯利康制药有限公司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267985</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15355540.5</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23.77%</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23.33%</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425"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注射用奥美拉唑钠40mg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宜昌人福药业有限责任公司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629450</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1542152.5</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27.91%</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54.80%</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35.91%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9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注射用泮托拉唑钠40mg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成都百裕制药股份有限公司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191282</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248666.6</w:t>
            </w:r>
          </w:p>
        </w:tc>
        <w:tc>
          <w:tcPr>
            <w:tcW w:w="506" w:type="pct"/>
            <w:vMerge w:val="restart"/>
            <w:noWrap/>
            <w:vAlign w:val="center"/>
          </w:tcPr>
          <w:p>
            <w:pPr>
              <w:spacing w:line="300" w:lineRule="exact"/>
              <w:jc w:val="center"/>
              <w:rPr>
                <w:rFonts w:ascii="Times New Roman" w:hAnsi="Times New Roman" w:eastAsiaTheme="minorEastAsia"/>
                <w:sz w:val="24"/>
                <w:szCs w:val="24"/>
              </w:rPr>
            </w:pPr>
            <w:r>
              <w:rPr>
                <w:rFonts w:ascii="Times New Roman" w:hAnsi="Times New Roman" w:eastAsiaTheme="minorEastAsia"/>
                <w:sz w:val="24"/>
                <w:szCs w:val="24"/>
              </w:rPr>
              <w:t>16.08%</w:t>
            </w:r>
          </w:p>
          <w:p>
            <w:pPr>
              <w:spacing w:line="300" w:lineRule="exact"/>
              <w:jc w:val="center"/>
              <w:rPr>
                <w:rFonts w:ascii="Times New Roman" w:hAnsi="Times New Roman" w:eastAsiaTheme="minorEastAsia"/>
                <w:sz w:val="24"/>
                <w:szCs w:val="24"/>
              </w:rPr>
            </w:pPr>
            <w:r>
              <w:rPr>
                <w:rFonts w:ascii="Times New Roman" w:hAnsi="Times New Roman" w:eastAsiaTheme="minorEastAsia"/>
                <w:sz w:val="24"/>
                <w:szCs w:val="24"/>
              </w:rPr>
              <w:t>(</w:t>
            </w:r>
            <w:r>
              <w:rPr>
                <w:rFonts w:hint="eastAsia" w:ascii="Times New Roman" w:hAnsi="Times New Roman" w:eastAsiaTheme="minorEastAsia"/>
                <w:sz w:val="24"/>
                <w:szCs w:val="24"/>
              </w:rPr>
              <w:t>按</w:t>
            </w:r>
            <w:r>
              <w:rPr>
                <w:rFonts w:ascii="Times New Roman" w:hAnsi="Times New Roman" w:eastAsiaTheme="minorEastAsia"/>
                <w:sz w:val="24"/>
                <w:szCs w:val="24"/>
              </w:rPr>
              <w:t>40mg</w:t>
            </w:r>
            <w:r>
              <w:rPr>
                <w:rFonts w:hint="eastAsia" w:ascii="Times New Roman" w:hAnsi="Times New Roman" w:eastAsiaTheme="minorEastAsia"/>
                <w:sz w:val="24"/>
                <w:szCs w:val="24"/>
              </w:rPr>
              <w:t>计）</w:t>
            </w:r>
          </w:p>
        </w:tc>
        <w:tc>
          <w:tcPr>
            <w:tcW w:w="558" w:type="pct"/>
            <w:vMerge w:val="restart"/>
            <w:noWrap/>
            <w:vAlign w:val="center"/>
          </w:tcPr>
          <w:p>
            <w:pPr>
              <w:spacing w:line="300" w:lineRule="exact"/>
              <w:jc w:val="center"/>
              <w:rPr>
                <w:rFonts w:ascii="Times New Roman" w:hAnsi="Times New Roman" w:eastAsiaTheme="minorEastAsia"/>
                <w:sz w:val="24"/>
                <w:szCs w:val="24"/>
              </w:rPr>
            </w:pPr>
            <w:r>
              <w:rPr>
                <w:rFonts w:ascii="Times New Roman" w:hAnsi="Times New Roman" w:eastAsiaTheme="minorEastAsia"/>
                <w:sz w:val="24"/>
                <w:szCs w:val="24"/>
              </w:rPr>
              <w:t>39.71%</w:t>
            </w:r>
          </w:p>
          <w:p>
            <w:pPr>
              <w:spacing w:line="300" w:lineRule="exact"/>
              <w:jc w:val="center"/>
              <w:rPr>
                <w:rFonts w:ascii="Times New Roman" w:hAnsi="Times New Roman" w:eastAsiaTheme="minorEastAsia"/>
                <w:sz w:val="24"/>
                <w:szCs w:val="24"/>
              </w:rPr>
            </w:pPr>
            <w:r>
              <w:rPr>
                <w:rFonts w:ascii="Times New Roman" w:hAnsi="Times New Roman" w:eastAsiaTheme="minorEastAsia"/>
                <w:sz w:val="24"/>
                <w:szCs w:val="24"/>
              </w:rPr>
              <w:t>(</w:t>
            </w:r>
            <w:r>
              <w:rPr>
                <w:rFonts w:hint="eastAsia" w:ascii="Times New Roman" w:hAnsi="Times New Roman" w:eastAsiaTheme="minorEastAsia"/>
                <w:sz w:val="24"/>
                <w:szCs w:val="24"/>
              </w:rPr>
              <w:t>按</w:t>
            </w:r>
            <w:r>
              <w:rPr>
                <w:rFonts w:ascii="Times New Roman" w:hAnsi="Times New Roman" w:eastAsiaTheme="minorEastAsia"/>
                <w:sz w:val="24"/>
                <w:szCs w:val="24"/>
              </w:rPr>
              <w:t>40mg</w:t>
            </w:r>
            <w:r>
              <w:rPr>
                <w:rFonts w:hint="eastAsia" w:ascii="Times New Roman" w:hAnsi="Times New Roman" w:eastAsiaTheme="minorEastAsia"/>
                <w:sz w:val="24"/>
                <w:szCs w:val="24"/>
              </w:rPr>
              <w:t>计）</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注射用泮托拉唑钠80mg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成都百裕制药股份有限公司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17906</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39572.26</w:t>
            </w:r>
          </w:p>
        </w:tc>
        <w:tc>
          <w:tcPr>
            <w:tcW w:w="506" w:type="pct"/>
            <w:vMerge w:val="continue"/>
            <w:noWrap/>
            <w:vAlign w:val="center"/>
          </w:tcPr>
          <w:p>
            <w:pPr>
              <w:spacing w:line="360" w:lineRule="exact"/>
              <w:jc w:val="center"/>
              <w:rPr>
                <w:rFonts w:ascii="Times New Roman" w:hAnsi="Times New Roman" w:eastAsiaTheme="minorEastAsia"/>
                <w:sz w:val="24"/>
                <w:szCs w:val="24"/>
              </w:rPr>
            </w:pPr>
          </w:p>
        </w:tc>
        <w:tc>
          <w:tcPr>
            <w:tcW w:w="558" w:type="pct"/>
            <w:vMerge w:val="continue"/>
            <w:noWrap/>
            <w:vAlign w:val="center"/>
          </w:tcPr>
          <w:p>
            <w:pPr>
              <w:spacing w:line="360" w:lineRule="exact"/>
              <w:jc w:val="center"/>
              <w:rPr>
                <w:rFonts w:ascii="Times New Roman" w:hAnsi="Times New Roman" w:eastAsiaTheme="minorEastAsia"/>
                <w:sz w:val="24"/>
                <w:szCs w:val="24"/>
              </w:rPr>
            </w:pP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注射用泮托拉唑钠60mg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山东绿叶制药有限公司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112110</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201798</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23.82%</w:t>
            </w:r>
          </w:p>
        </w:tc>
        <w:tc>
          <w:tcPr>
            <w:tcW w:w="558" w:type="pct"/>
            <w:noWrap/>
            <w:vAlign w:val="center"/>
          </w:tcPr>
          <w:p>
            <w:pPr>
              <w:spacing w:line="300" w:lineRule="exact"/>
              <w:jc w:val="center"/>
              <w:rPr>
                <w:rFonts w:ascii="Times New Roman" w:hAnsi="Times New Roman" w:eastAsiaTheme="minorEastAsia"/>
                <w:sz w:val="24"/>
                <w:szCs w:val="24"/>
              </w:rPr>
            </w:pPr>
            <w:r>
              <w:rPr>
                <w:rFonts w:ascii="Times New Roman" w:hAnsi="Times New Roman" w:eastAsiaTheme="minorEastAsia"/>
                <w:sz w:val="24"/>
                <w:szCs w:val="24"/>
              </w:rPr>
              <w:t>34.78%</w:t>
            </w:r>
          </w:p>
          <w:p>
            <w:pPr>
              <w:spacing w:line="300" w:lineRule="exact"/>
              <w:jc w:val="center"/>
              <w:rPr>
                <w:rFonts w:ascii="Times New Roman" w:hAnsi="Times New Roman" w:eastAsiaTheme="minorEastAsia"/>
                <w:sz w:val="24"/>
                <w:szCs w:val="24"/>
              </w:rPr>
            </w:pPr>
            <w:r>
              <w:rPr>
                <w:rFonts w:ascii="Times New Roman" w:hAnsi="Times New Roman" w:eastAsiaTheme="minorEastAsia"/>
                <w:sz w:val="24"/>
                <w:szCs w:val="24"/>
              </w:rPr>
              <w:t>(</w:t>
            </w:r>
            <w:r>
              <w:rPr>
                <w:rFonts w:hint="eastAsia" w:ascii="Times New Roman" w:hAnsi="Times New Roman" w:eastAsiaTheme="minorEastAsia"/>
                <w:sz w:val="24"/>
                <w:szCs w:val="24"/>
              </w:rPr>
              <w:t>按</w:t>
            </w:r>
            <w:r>
              <w:rPr>
                <w:rFonts w:ascii="Times New Roman" w:hAnsi="Times New Roman" w:eastAsiaTheme="minorEastAsia"/>
                <w:sz w:val="24"/>
                <w:szCs w:val="24"/>
              </w:rPr>
              <w:t>40mg</w:t>
            </w:r>
            <w:r>
              <w:rPr>
                <w:rFonts w:hint="eastAsia" w:ascii="Times New Roman" w:hAnsi="Times New Roman" w:eastAsiaTheme="minorEastAsia"/>
                <w:sz w:val="24"/>
                <w:szCs w:val="24"/>
              </w:rPr>
              <w:t>计）</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兰索拉唑肠溶片15mg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华润双鹤利民药业（济南）有限公司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2298520</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377614</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38.05%</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81.51%</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注射用兰索拉唑30mg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成都百裕制药股份有限公司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199478</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458799.4</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26.70%</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77.33%</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雷贝拉唑钠肠溶胶囊10mg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卫材（中国）药业有限公司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279356</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2453144.76</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13.81%</w:t>
            </w:r>
          </w:p>
        </w:tc>
        <w:tc>
          <w:tcPr>
            <w:tcW w:w="558" w:type="pct"/>
            <w:vMerge w:val="restar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14.93%</w:t>
            </w:r>
          </w:p>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5.03%</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雷贝拉唑钠肠溶胶囊20mg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卫材（中国）药业有限公司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46543</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694820.5</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8.62%</w:t>
            </w:r>
          </w:p>
        </w:tc>
        <w:tc>
          <w:tcPr>
            <w:tcW w:w="558" w:type="pct"/>
            <w:vMerge w:val="continue"/>
            <w:noWrap/>
            <w:vAlign w:val="center"/>
          </w:tcPr>
          <w:p>
            <w:pPr>
              <w:spacing w:line="360" w:lineRule="exact"/>
              <w:jc w:val="center"/>
              <w:rPr>
                <w:rFonts w:ascii="Times New Roman" w:hAnsi="Times New Roman" w:eastAsiaTheme="minorEastAsia"/>
                <w:sz w:val="24"/>
                <w:szCs w:val="24"/>
              </w:rPr>
            </w:pP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雷贝拉唑钠肠溶胶囊10mg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珠海润都制药股份有限公司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1149960</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1314240</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28.43%</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61.46%</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雷贝拉唑钠肠溶胶囊20mg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珠海润都制药股份有限公司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819742</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1592641.6</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75.91%</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88.62%</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65"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醋酸奥曲肽注射液1ml:0.1mg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国药控股广州有限公司（瑞士诺华）</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52925</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3122575</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15.68%</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21.35%</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醋酸奥曲肽注射液1ml:0.1mg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锦州奥鸿药业有限责任公司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175215</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1191462</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25.95%</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70.70%</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注射用盐酸吉西他滨0.2g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齐鲁制药（海南）有限公司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38332</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574213.36</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41.13%</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73.18%</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40" w:hRule="atLeast"/>
        </w:trPr>
        <w:tc>
          <w:tcPr>
            <w:tcW w:w="1121" w:type="pct"/>
            <w:noWrap/>
            <w:vAlign w:val="center"/>
          </w:tcPr>
          <w:p>
            <w:pPr>
              <w:widowControl/>
              <w:spacing w:line="360" w:lineRule="exact"/>
              <w:jc w:val="center"/>
              <w:textAlignment w:val="center"/>
              <w:rPr>
                <w:rFonts w:ascii="Times New Roman" w:hAnsi="Times New Roman" w:eastAsiaTheme="minorEastAsia"/>
                <w:sz w:val="24"/>
                <w:szCs w:val="24"/>
              </w:rPr>
            </w:pPr>
            <w:r>
              <w:rPr>
                <w:rFonts w:ascii="Times New Roman" w:hAnsi="Times New Roman" w:eastAsiaTheme="minorEastAsia"/>
                <w:kern w:val="0"/>
                <w:sz w:val="24"/>
                <w:szCs w:val="24"/>
                <w:lang w:bidi="ar"/>
              </w:rPr>
              <w:t>注射用盐酸吉西他滨1g</w:t>
            </w:r>
          </w:p>
        </w:tc>
        <w:tc>
          <w:tcPr>
            <w:tcW w:w="1369" w:type="pct"/>
            <w:noWrap/>
            <w:vAlign w:val="center"/>
          </w:tcPr>
          <w:p>
            <w:pPr>
              <w:widowControl/>
              <w:spacing w:line="360" w:lineRule="exact"/>
              <w:jc w:val="center"/>
              <w:textAlignment w:val="center"/>
              <w:rPr>
                <w:rFonts w:ascii="Times New Roman" w:hAnsi="Times New Roman" w:eastAsiaTheme="minorEastAsia"/>
                <w:kern w:val="0"/>
                <w:sz w:val="24"/>
                <w:szCs w:val="24"/>
                <w:lang w:bidi="ar"/>
              </w:rPr>
            </w:pPr>
            <w:r>
              <w:rPr>
                <w:rFonts w:ascii="Times New Roman" w:hAnsi="Times New Roman" w:eastAsiaTheme="minorEastAsia"/>
                <w:kern w:val="0"/>
                <w:sz w:val="24"/>
                <w:szCs w:val="24"/>
                <w:lang w:bidi="ar"/>
              </w:rPr>
              <w:t>齐鲁制药（海南）有限公司</w:t>
            </w:r>
          </w:p>
        </w:tc>
        <w:tc>
          <w:tcPr>
            <w:tcW w:w="45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1944</w:t>
            </w:r>
          </w:p>
        </w:tc>
        <w:tc>
          <w:tcPr>
            <w:tcW w:w="50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99843.84</w:t>
            </w:r>
          </w:p>
        </w:tc>
        <w:tc>
          <w:tcPr>
            <w:tcW w:w="506"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67.41%</w:t>
            </w:r>
          </w:p>
        </w:tc>
        <w:tc>
          <w:tcPr>
            <w:tcW w:w="558"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84.52%</w:t>
            </w:r>
          </w:p>
        </w:tc>
        <w:tc>
          <w:tcPr>
            <w:tcW w:w="482" w:type="pct"/>
            <w:noWrap/>
            <w:vAlign w:val="center"/>
          </w:tcPr>
          <w:p>
            <w:pPr>
              <w:spacing w:line="360" w:lineRule="exact"/>
              <w:jc w:val="center"/>
              <w:rPr>
                <w:rFonts w:ascii="Times New Roman" w:hAnsi="Times New Roman" w:eastAsiaTheme="minorEastAsia"/>
                <w:sz w:val="24"/>
                <w:szCs w:val="24"/>
              </w:rPr>
            </w:pPr>
            <w:r>
              <w:rPr>
                <w:rFonts w:ascii="Times New Roman" w:hAnsi="Times New Roman" w:eastAsiaTheme="minorEastAsia"/>
                <w:sz w:val="24"/>
                <w:szCs w:val="24"/>
              </w:rPr>
              <w:t>86.15%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0" w:type="dxa"/>
            <w:right w:w="15" w:type="dxa"/>
          </w:tblCellMar>
        </w:tblPrEx>
        <w:trPr>
          <w:trHeight w:val="397" w:hRule="atLeast"/>
        </w:trPr>
        <w:tc>
          <w:tcPr>
            <w:tcW w:w="1121" w:type="pct"/>
            <w:noWrap/>
            <w:vAlign w:val="center"/>
          </w:tcPr>
          <w:p>
            <w:pPr>
              <w:spacing w:line="360" w:lineRule="exact"/>
              <w:jc w:val="center"/>
              <w:textAlignment w:val="center"/>
              <w:rPr>
                <w:rFonts w:ascii="Times New Roman" w:hAnsi="Times New Roman" w:eastAsiaTheme="minorEastAsia"/>
                <w:b/>
                <w:sz w:val="24"/>
                <w:szCs w:val="24"/>
              </w:rPr>
            </w:pPr>
            <w:r>
              <w:rPr>
                <w:rFonts w:ascii="Times New Roman" w:hAnsi="Times New Roman" w:eastAsiaTheme="minorEastAsia"/>
                <w:b/>
                <w:sz w:val="24"/>
                <w:szCs w:val="24"/>
              </w:rPr>
              <w:t>总计</w:t>
            </w:r>
          </w:p>
        </w:tc>
        <w:tc>
          <w:tcPr>
            <w:tcW w:w="1369" w:type="pct"/>
            <w:noWrap/>
            <w:vAlign w:val="center"/>
          </w:tcPr>
          <w:p>
            <w:pPr>
              <w:widowControl/>
              <w:spacing w:line="360" w:lineRule="exact"/>
              <w:jc w:val="center"/>
              <w:textAlignment w:val="center"/>
              <w:rPr>
                <w:rFonts w:ascii="Times New Roman" w:hAnsi="Times New Roman" w:eastAsiaTheme="minorEastAsia"/>
                <w:b/>
                <w:kern w:val="0"/>
                <w:sz w:val="24"/>
                <w:szCs w:val="24"/>
                <w:lang w:bidi="ar"/>
              </w:rPr>
            </w:pPr>
          </w:p>
        </w:tc>
        <w:tc>
          <w:tcPr>
            <w:tcW w:w="456" w:type="pct"/>
            <w:noWrap/>
            <w:vAlign w:val="center"/>
          </w:tcPr>
          <w:p>
            <w:pPr>
              <w:spacing w:line="360" w:lineRule="exact"/>
              <w:jc w:val="center"/>
              <w:rPr>
                <w:rFonts w:ascii="Times New Roman" w:hAnsi="Times New Roman" w:eastAsiaTheme="minorEastAsia"/>
                <w:b/>
                <w:sz w:val="24"/>
                <w:szCs w:val="24"/>
              </w:rPr>
            </w:pPr>
            <w:r>
              <w:rPr>
                <w:rFonts w:ascii="Times New Roman" w:hAnsi="Times New Roman" w:eastAsiaTheme="minorEastAsia"/>
                <w:b/>
                <w:sz w:val="24"/>
                <w:szCs w:val="24"/>
              </w:rPr>
              <w:t>6280748</w:t>
            </w:r>
          </w:p>
        </w:tc>
        <w:tc>
          <w:tcPr>
            <w:tcW w:w="508" w:type="pct"/>
            <w:noWrap/>
            <w:vAlign w:val="center"/>
          </w:tcPr>
          <w:p>
            <w:pPr>
              <w:spacing w:line="360" w:lineRule="exact"/>
              <w:jc w:val="center"/>
              <w:rPr>
                <w:rFonts w:ascii="Times New Roman" w:hAnsi="Times New Roman" w:eastAsiaTheme="minorEastAsia"/>
                <w:b/>
                <w:sz w:val="24"/>
                <w:szCs w:val="24"/>
              </w:rPr>
            </w:pPr>
            <w:r>
              <w:rPr>
                <w:rFonts w:ascii="Times New Roman" w:hAnsi="Times New Roman" w:eastAsiaTheme="minorEastAsia"/>
                <w:b/>
                <w:sz w:val="24"/>
                <w:szCs w:val="24"/>
              </w:rPr>
              <w:t>29267084.32</w:t>
            </w:r>
          </w:p>
        </w:tc>
        <w:tc>
          <w:tcPr>
            <w:tcW w:w="506" w:type="pct"/>
            <w:noWrap/>
            <w:vAlign w:val="center"/>
          </w:tcPr>
          <w:p>
            <w:pPr>
              <w:spacing w:line="360" w:lineRule="exact"/>
              <w:jc w:val="center"/>
              <w:rPr>
                <w:rFonts w:ascii="Times New Roman" w:hAnsi="Times New Roman" w:eastAsiaTheme="minorEastAsia"/>
                <w:b/>
                <w:sz w:val="24"/>
                <w:szCs w:val="24"/>
              </w:rPr>
            </w:pPr>
            <w:r>
              <w:rPr>
                <w:rFonts w:ascii="Times New Roman" w:hAnsi="Times New Roman" w:eastAsiaTheme="minorEastAsia"/>
                <w:b/>
                <w:sz w:val="24"/>
                <w:szCs w:val="24"/>
              </w:rPr>
              <w:t>30.21%</w:t>
            </w:r>
          </w:p>
        </w:tc>
        <w:tc>
          <w:tcPr>
            <w:tcW w:w="558" w:type="pct"/>
            <w:noWrap/>
            <w:vAlign w:val="center"/>
          </w:tcPr>
          <w:p>
            <w:pPr>
              <w:spacing w:line="360" w:lineRule="exact"/>
              <w:jc w:val="center"/>
              <w:rPr>
                <w:rFonts w:ascii="Times New Roman" w:hAnsi="Times New Roman" w:eastAsiaTheme="minorEastAsia"/>
                <w:b/>
                <w:sz w:val="24"/>
                <w:szCs w:val="24"/>
              </w:rPr>
            </w:pPr>
            <w:r>
              <w:rPr>
                <w:rFonts w:ascii="Times New Roman" w:hAnsi="Times New Roman" w:eastAsiaTheme="minorEastAsia"/>
                <w:b/>
                <w:sz w:val="24"/>
                <w:szCs w:val="24"/>
              </w:rPr>
              <w:t>52.73%</w:t>
            </w:r>
          </w:p>
        </w:tc>
        <w:tc>
          <w:tcPr>
            <w:tcW w:w="482" w:type="pct"/>
            <w:noWrap/>
            <w:vAlign w:val="center"/>
          </w:tcPr>
          <w:p>
            <w:pPr>
              <w:spacing w:line="360" w:lineRule="exact"/>
              <w:jc w:val="center"/>
              <w:rPr>
                <w:rFonts w:ascii="Times New Roman" w:hAnsi="Times New Roman" w:eastAsiaTheme="minorEastAsia"/>
                <w:b/>
                <w:sz w:val="24"/>
                <w:szCs w:val="24"/>
              </w:rPr>
            </w:pPr>
            <w:r>
              <w:rPr>
                <w:rFonts w:ascii="Times New Roman" w:hAnsi="Times New Roman" w:eastAsiaTheme="minorEastAsia"/>
                <w:b/>
                <w:sz w:val="24"/>
                <w:szCs w:val="24"/>
              </w:rPr>
              <w:t>80.26%</w:t>
            </w:r>
          </w:p>
        </w:tc>
      </w:tr>
    </w:tbl>
    <w:p>
      <w:pPr>
        <w:rPr>
          <w:rFonts w:ascii="仿宋_GB2312" w:eastAsia="仿宋_GB2312"/>
        </w:rPr>
      </w:pPr>
    </w:p>
    <w:p>
      <w:pPr>
        <w:spacing w:line="20" w:lineRule="exact"/>
        <w:ind w:firstLine="640" w:firstLineChars="200"/>
        <w:rPr>
          <w:rFonts w:ascii="仿宋_GB2312" w:eastAsia="仿宋_GB2312"/>
        </w:rPr>
      </w:pPr>
    </w:p>
    <w:sectPr>
      <w:pgSz w:w="16838" w:h="11906" w:orient="landscape"/>
      <w:pgMar w:top="1797" w:right="1440" w:bottom="1797" w:left="144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249629"/>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- 2 -</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hideSpellingErrors/>
  <w:documentProtection w:enforcement="0"/>
  <w:defaultTabStop w:val="420"/>
  <w:evenAndOddHeaders w:val="1"/>
  <w:drawingGridHorizontalSpacing w:val="160"/>
  <w:drawingGridVerticalSpacing w:val="43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DB"/>
    <w:rsid w:val="000006EF"/>
    <w:rsid w:val="0000076B"/>
    <w:rsid w:val="00001E43"/>
    <w:rsid w:val="000029F6"/>
    <w:rsid w:val="000038C7"/>
    <w:rsid w:val="00003CAC"/>
    <w:rsid w:val="00005775"/>
    <w:rsid w:val="00006DA7"/>
    <w:rsid w:val="0001034A"/>
    <w:rsid w:val="00013662"/>
    <w:rsid w:val="000142D8"/>
    <w:rsid w:val="0001479B"/>
    <w:rsid w:val="000149CB"/>
    <w:rsid w:val="0001693B"/>
    <w:rsid w:val="00021B07"/>
    <w:rsid w:val="00022918"/>
    <w:rsid w:val="0002431F"/>
    <w:rsid w:val="0002523C"/>
    <w:rsid w:val="00027A0E"/>
    <w:rsid w:val="00027A2E"/>
    <w:rsid w:val="00030116"/>
    <w:rsid w:val="000305A1"/>
    <w:rsid w:val="00030603"/>
    <w:rsid w:val="00034A26"/>
    <w:rsid w:val="00040963"/>
    <w:rsid w:val="00040B82"/>
    <w:rsid w:val="00040E86"/>
    <w:rsid w:val="00043759"/>
    <w:rsid w:val="00043942"/>
    <w:rsid w:val="00043A42"/>
    <w:rsid w:val="000460A1"/>
    <w:rsid w:val="00046C11"/>
    <w:rsid w:val="00047CAE"/>
    <w:rsid w:val="00050D86"/>
    <w:rsid w:val="00053A84"/>
    <w:rsid w:val="00054622"/>
    <w:rsid w:val="000611C5"/>
    <w:rsid w:val="00061A3C"/>
    <w:rsid w:val="00062561"/>
    <w:rsid w:val="00062711"/>
    <w:rsid w:val="00062EFF"/>
    <w:rsid w:val="000717D2"/>
    <w:rsid w:val="00076011"/>
    <w:rsid w:val="0007602E"/>
    <w:rsid w:val="0007639C"/>
    <w:rsid w:val="000813E7"/>
    <w:rsid w:val="00081F22"/>
    <w:rsid w:val="00082B8B"/>
    <w:rsid w:val="000865B9"/>
    <w:rsid w:val="00086F01"/>
    <w:rsid w:val="00087150"/>
    <w:rsid w:val="000925C9"/>
    <w:rsid w:val="000930BE"/>
    <w:rsid w:val="00093128"/>
    <w:rsid w:val="000934A3"/>
    <w:rsid w:val="00094F36"/>
    <w:rsid w:val="00096AB6"/>
    <w:rsid w:val="00096CB7"/>
    <w:rsid w:val="000A0A4C"/>
    <w:rsid w:val="000A0DBC"/>
    <w:rsid w:val="000A0FC9"/>
    <w:rsid w:val="000A1C7C"/>
    <w:rsid w:val="000A4F7C"/>
    <w:rsid w:val="000A52DC"/>
    <w:rsid w:val="000A53A4"/>
    <w:rsid w:val="000B08FE"/>
    <w:rsid w:val="000B0E73"/>
    <w:rsid w:val="000B2052"/>
    <w:rsid w:val="000B3192"/>
    <w:rsid w:val="000B3197"/>
    <w:rsid w:val="000B3F9C"/>
    <w:rsid w:val="000B4153"/>
    <w:rsid w:val="000B4951"/>
    <w:rsid w:val="000B5BD7"/>
    <w:rsid w:val="000B6083"/>
    <w:rsid w:val="000B62BD"/>
    <w:rsid w:val="000C07B7"/>
    <w:rsid w:val="000C3B2B"/>
    <w:rsid w:val="000D003E"/>
    <w:rsid w:val="000D25EF"/>
    <w:rsid w:val="000D5AAF"/>
    <w:rsid w:val="000D6115"/>
    <w:rsid w:val="000D6A17"/>
    <w:rsid w:val="000E1CE8"/>
    <w:rsid w:val="000E20B2"/>
    <w:rsid w:val="000E2572"/>
    <w:rsid w:val="000E3C6B"/>
    <w:rsid w:val="000E4D07"/>
    <w:rsid w:val="000E5A00"/>
    <w:rsid w:val="000E7846"/>
    <w:rsid w:val="000E7AAD"/>
    <w:rsid w:val="000F0BCD"/>
    <w:rsid w:val="000F11B0"/>
    <w:rsid w:val="000F159D"/>
    <w:rsid w:val="000F2796"/>
    <w:rsid w:val="000F367A"/>
    <w:rsid w:val="000F448D"/>
    <w:rsid w:val="000F491E"/>
    <w:rsid w:val="000F54AE"/>
    <w:rsid w:val="000F6E1C"/>
    <w:rsid w:val="0010073A"/>
    <w:rsid w:val="001020B4"/>
    <w:rsid w:val="00102C7C"/>
    <w:rsid w:val="001031D6"/>
    <w:rsid w:val="00104535"/>
    <w:rsid w:val="00106398"/>
    <w:rsid w:val="00107539"/>
    <w:rsid w:val="0011015E"/>
    <w:rsid w:val="00111892"/>
    <w:rsid w:val="00112403"/>
    <w:rsid w:val="00112F53"/>
    <w:rsid w:val="001168D9"/>
    <w:rsid w:val="00116AA0"/>
    <w:rsid w:val="00117F55"/>
    <w:rsid w:val="00120369"/>
    <w:rsid w:val="001217C9"/>
    <w:rsid w:val="00123B91"/>
    <w:rsid w:val="00124BAB"/>
    <w:rsid w:val="0012513C"/>
    <w:rsid w:val="001267B2"/>
    <w:rsid w:val="00126855"/>
    <w:rsid w:val="0012745C"/>
    <w:rsid w:val="00127F4C"/>
    <w:rsid w:val="00132848"/>
    <w:rsid w:val="00135FC6"/>
    <w:rsid w:val="00136EDA"/>
    <w:rsid w:val="00137219"/>
    <w:rsid w:val="00140BF9"/>
    <w:rsid w:val="00140E6A"/>
    <w:rsid w:val="0014211F"/>
    <w:rsid w:val="001428CA"/>
    <w:rsid w:val="00143F8D"/>
    <w:rsid w:val="00145D8E"/>
    <w:rsid w:val="0014638E"/>
    <w:rsid w:val="001477F4"/>
    <w:rsid w:val="00150FBF"/>
    <w:rsid w:val="001523DF"/>
    <w:rsid w:val="00152BAF"/>
    <w:rsid w:val="00153369"/>
    <w:rsid w:val="001536FB"/>
    <w:rsid w:val="00153B30"/>
    <w:rsid w:val="00154413"/>
    <w:rsid w:val="00155AA4"/>
    <w:rsid w:val="0015660F"/>
    <w:rsid w:val="00161314"/>
    <w:rsid w:val="001659C1"/>
    <w:rsid w:val="00165BD8"/>
    <w:rsid w:val="0016694C"/>
    <w:rsid w:val="00166F97"/>
    <w:rsid w:val="00170430"/>
    <w:rsid w:val="00172727"/>
    <w:rsid w:val="001766BC"/>
    <w:rsid w:val="0018100A"/>
    <w:rsid w:val="00181A31"/>
    <w:rsid w:val="00183BC7"/>
    <w:rsid w:val="0018467A"/>
    <w:rsid w:val="001850A3"/>
    <w:rsid w:val="00185D0B"/>
    <w:rsid w:val="0018699D"/>
    <w:rsid w:val="00190E24"/>
    <w:rsid w:val="00194E43"/>
    <w:rsid w:val="001957BE"/>
    <w:rsid w:val="00197CBC"/>
    <w:rsid w:val="001A037D"/>
    <w:rsid w:val="001A2A48"/>
    <w:rsid w:val="001A449A"/>
    <w:rsid w:val="001A5345"/>
    <w:rsid w:val="001A6CDE"/>
    <w:rsid w:val="001A7A1C"/>
    <w:rsid w:val="001B3C87"/>
    <w:rsid w:val="001B3FCB"/>
    <w:rsid w:val="001B7103"/>
    <w:rsid w:val="001C3B4D"/>
    <w:rsid w:val="001C5B0D"/>
    <w:rsid w:val="001C5D0E"/>
    <w:rsid w:val="001C5E42"/>
    <w:rsid w:val="001D21CA"/>
    <w:rsid w:val="001D2315"/>
    <w:rsid w:val="001D3111"/>
    <w:rsid w:val="001D4C70"/>
    <w:rsid w:val="001D53CB"/>
    <w:rsid w:val="001D5438"/>
    <w:rsid w:val="001D5CD9"/>
    <w:rsid w:val="001D6140"/>
    <w:rsid w:val="001D6B06"/>
    <w:rsid w:val="001E0C37"/>
    <w:rsid w:val="001E3942"/>
    <w:rsid w:val="001E51A7"/>
    <w:rsid w:val="001E7BEE"/>
    <w:rsid w:val="001F13E7"/>
    <w:rsid w:val="001F15A8"/>
    <w:rsid w:val="001F1AEF"/>
    <w:rsid w:val="001F2733"/>
    <w:rsid w:val="001F7345"/>
    <w:rsid w:val="001F774F"/>
    <w:rsid w:val="00200C8E"/>
    <w:rsid w:val="00200EB3"/>
    <w:rsid w:val="00201123"/>
    <w:rsid w:val="00201986"/>
    <w:rsid w:val="00211E46"/>
    <w:rsid w:val="00211FB4"/>
    <w:rsid w:val="00212363"/>
    <w:rsid w:val="00212CFC"/>
    <w:rsid w:val="0021407A"/>
    <w:rsid w:val="00221485"/>
    <w:rsid w:val="00223CA7"/>
    <w:rsid w:val="002263C2"/>
    <w:rsid w:val="002265B8"/>
    <w:rsid w:val="00227152"/>
    <w:rsid w:val="00232727"/>
    <w:rsid w:val="0023388C"/>
    <w:rsid w:val="002375AC"/>
    <w:rsid w:val="00241FC4"/>
    <w:rsid w:val="00242219"/>
    <w:rsid w:val="0024332A"/>
    <w:rsid w:val="002442C7"/>
    <w:rsid w:val="00247BE5"/>
    <w:rsid w:val="00250504"/>
    <w:rsid w:val="002515C1"/>
    <w:rsid w:val="00251E94"/>
    <w:rsid w:val="002571D2"/>
    <w:rsid w:val="00260D79"/>
    <w:rsid w:val="002613B6"/>
    <w:rsid w:val="002622E3"/>
    <w:rsid w:val="0026304F"/>
    <w:rsid w:val="00263434"/>
    <w:rsid w:val="00263652"/>
    <w:rsid w:val="00263D06"/>
    <w:rsid w:val="00265B36"/>
    <w:rsid w:val="00266389"/>
    <w:rsid w:val="00266D80"/>
    <w:rsid w:val="00270865"/>
    <w:rsid w:val="00280397"/>
    <w:rsid w:val="00281AC6"/>
    <w:rsid w:val="00282199"/>
    <w:rsid w:val="00282B06"/>
    <w:rsid w:val="00282DA1"/>
    <w:rsid w:val="00282DD7"/>
    <w:rsid w:val="00284A78"/>
    <w:rsid w:val="00285EAC"/>
    <w:rsid w:val="00285EBC"/>
    <w:rsid w:val="002877AC"/>
    <w:rsid w:val="002904F3"/>
    <w:rsid w:val="0029664D"/>
    <w:rsid w:val="0029771B"/>
    <w:rsid w:val="002A0313"/>
    <w:rsid w:val="002A1B99"/>
    <w:rsid w:val="002A36AD"/>
    <w:rsid w:val="002A69AF"/>
    <w:rsid w:val="002B093D"/>
    <w:rsid w:val="002B1C77"/>
    <w:rsid w:val="002B3036"/>
    <w:rsid w:val="002B4170"/>
    <w:rsid w:val="002B41BE"/>
    <w:rsid w:val="002B5035"/>
    <w:rsid w:val="002B63AE"/>
    <w:rsid w:val="002C0486"/>
    <w:rsid w:val="002C2531"/>
    <w:rsid w:val="002C33C5"/>
    <w:rsid w:val="002C50A1"/>
    <w:rsid w:val="002C7EFF"/>
    <w:rsid w:val="002D104A"/>
    <w:rsid w:val="002D22B2"/>
    <w:rsid w:val="002D519E"/>
    <w:rsid w:val="002D54E2"/>
    <w:rsid w:val="002D5910"/>
    <w:rsid w:val="002D5BFA"/>
    <w:rsid w:val="002D70DA"/>
    <w:rsid w:val="002D75D4"/>
    <w:rsid w:val="002D7866"/>
    <w:rsid w:val="002E1BAD"/>
    <w:rsid w:val="002F1023"/>
    <w:rsid w:val="002F11ED"/>
    <w:rsid w:val="002F178E"/>
    <w:rsid w:val="002F17D0"/>
    <w:rsid w:val="002F484C"/>
    <w:rsid w:val="002F4E03"/>
    <w:rsid w:val="002F6172"/>
    <w:rsid w:val="002F7015"/>
    <w:rsid w:val="002F74D6"/>
    <w:rsid w:val="003000D3"/>
    <w:rsid w:val="00300243"/>
    <w:rsid w:val="003023DA"/>
    <w:rsid w:val="00302E76"/>
    <w:rsid w:val="00302EAA"/>
    <w:rsid w:val="003051C5"/>
    <w:rsid w:val="003156DA"/>
    <w:rsid w:val="00315F91"/>
    <w:rsid w:val="00317B9F"/>
    <w:rsid w:val="0032020C"/>
    <w:rsid w:val="003208C1"/>
    <w:rsid w:val="00323D96"/>
    <w:rsid w:val="00324242"/>
    <w:rsid w:val="00324E6D"/>
    <w:rsid w:val="00326FD7"/>
    <w:rsid w:val="00330425"/>
    <w:rsid w:val="00330564"/>
    <w:rsid w:val="003330CE"/>
    <w:rsid w:val="00336107"/>
    <w:rsid w:val="003406E1"/>
    <w:rsid w:val="00342ECC"/>
    <w:rsid w:val="00344963"/>
    <w:rsid w:val="00344A93"/>
    <w:rsid w:val="0034529B"/>
    <w:rsid w:val="00346245"/>
    <w:rsid w:val="00346AA5"/>
    <w:rsid w:val="00346BAF"/>
    <w:rsid w:val="00347A35"/>
    <w:rsid w:val="003505F2"/>
    <w:rsid w:val="00350E7A"/>
    <w:rsid w:val="00351A03"/>
    <w:rsid w:val="00351A47"/>
    <w:rsid w:val="00352B52"/>
    <w:rsid w:val="00352FED"/>
    <w:rsid w:val="003536C8"/>
    <w:rsid w:val="00354201"/>
    <w:rsid w:val="003544A0"/>
    <w:rsid w:val="00354E35"/>
    <w:rsid w:val="00355FCA"/>
    <w:rsid w:val="00356866"/>
    <w:rsid w:val="003573E7"/>
    <w:rsid w:val="0036093D"/>
    <w:rsid w:val="0036412D"/>
    <w:rsid w:val="00364A7B"/>
    <w:rsid w:val="00370524"/>
    <w:rsid w:val="0037055B"/>
    <w:rsid w:val="0037060F"/>
    <w:rsid w:val="00370E00"/>
    <w:rsid w:val="00371425"/>
    <w:rsid w:val="00372B0C"/>
    <w:rsid w:val="00374B1F"/>
    <w:rsid w:val="00374E56"/>
    <w:rsid w:val="00375101"/>
    <w:rsid w:val="00375B1C"/>
    <w:rsid w:val="00380278"/>
    <w:rsid w:val="00380B35"/>
    <w:rsid w:val="0038180E"/>
    <w:rsid w:val="0038726A"/>
    <w:rsid w:val="0038755D"/>
    <w:rsid w:val="003918F0"/>
    <w:rsid w:val="003928AF"/>
    <w:rsid w:val="00392FBA"/>
    <w:rsid w:val="00393E75"/>
    <w:rsid w:val="003A0174"/>
    <w:rsid w:val="003A38D7"/>
    <w:rsid w:val="003A6BA6"/>
    <w:rsid w:val="003B0AF3"/>
    <w:rsid w:val="003B0EF1"/>
    <w:rsid w:val="003B2CC9"/>
    <w:rsid w:val="003B4AC6"/>
    <w:rsid w:val="003B6331"/>
    <w:rsid w:val="003B7B05"/>
    <w:rsid w:val="003B7EA2"/>
    <w:rsid w:val="003C0737"/>
    <w:rsid w:val="003C0E5C"/>
    <w:rsid w:val="003C3A18"/>
    <w:rsid w:val="003C4CD2"/>
    <w:rsid w:val="003C5272"/>
    <w:rsid w:val="003C6B69"/>
    <w:rsid w:val="003D0487"/>
    <w:rsid w:val="003D1FBF"/>
    <w:rsid w:val="003D30E3"/>
    <w:rsid w:val="003D622A"/>
    <w:rsid w:val="003D7AD2"/>
    <w:rsid w:val="003E0126"/>
    <w:rsid w:val="003E1B32"/>
    <w:rsid w:val="003E2EDA"/>
    <w:rsid w:val="003E314F"/>
    <w:rsid w:val="003E3397"/>
    <w:rsid w:val="003E377C"/>
    <w:rsid w:val="003E3E0B"/>
    <w:rsid w:val="003E4695"/>
    <w:rsid w:val="003E4BCA"/>
    <w:rsid w:val="003E543D"/>
    <w:rsid w:val="003E6115"/>
    <w:rsid w:val="003E7E9E"/>
    <w:rsid w:val="003F3356"/>
    <w:rsid w:val="003F38A5"/>
    <w:rsid w:val="003F52AB"/>
    <w:rsid w:val="003F583C"/>
    <w:rsid w:val="003F6CA5"/>
    <w:rsid w:val="003F781E"/>
    <w:rsid w:val="004004DE"/>
    <w:rsid w:val="00400EA8"/>
    <w:rsid w:val="0040178C"/>
    <w:rsid w:val="00401E73"/>
    <w:rsid w:val="004024F0"/>
    <w:rsid w:val="00404A7A"/>
    <w:rsid w:val="00404BCB"/>
    <w:rsid w:val="0041293E"/>
    <w:rsid w:val="00412FA5"/>
    <w:rsid w:val="00413BD6"/>
    <w:rsid w:val="00415579"/>
    <w:rsid w:val="00415A45"/>
    <w:rsid w:val="004160FC"/>
    <w:rsid w:val="00416D77"/>
    <w:rsid w:val="0041790E"/>
    <w:rsid w:val="00420567"/>
    <w:rsid w:val="00421C7B"/>
    <w:rsid w:val="0042286E"/>
    <w:rsid w:val="004229AC"/>
    <w:rsid w:val="00424AFE"/>
    <w:rsid w:val="0042558D"/>
    <w:rsid w:val="00426300"/>
    <w:rsid w:val="00431968"/>
    <w:rsid w:val="00432157"/>
    <w:rsid w:val="00432F7B"/>
    <w:rsid w:val="00435F4A"/>
    <w:rsid w:val="004361ED"/>
    <w:rsid w:val="00442F0E"/>
    <w:rsid w:val="00443391"/>
    <w:rsid w:val="004437A6"/>
    <w:rsid w:val="00444898"/>
    <w:rsid w:val="00444DE2"/>
    <w:rsid w:val="00446A04"/>
    <w:rsid w:val="0045099C"/>
    <w:rsid w:val="00452C98"/>
    <w:rsid w:val="00455489"/>
    <w:rsid w:val="0046038B"/>
    <w:rsid w:val="00461518"/>
    <w:rsid w:val="00461FEF"/>
    <w:rsid w:val="00464F70"/>
    <w:rsid w:val="00466E5C"/>
    <w:rsid w:val="004674E5"/>
    <w:rsid w:val="0047103F"/>
    <w:rsid w:val="0047142C"/>
    <w:rsid w:val="00471AC7"/>
    <w:rsid w:val="004720D1"/>
    <w:rsid w:val="00472E8F"/>
    <w:rsid w:val="00473437"/>
    <w:rsid w:val="004745D6"/>
    <w:rsid w:val="0047550B"/>
    <w:rsid w:val="00475EB8"/>
    <w:rsid w:val="00476CDA"/>
    <w:rsid w:val="004774AF"/>
    <w:rsid w:val="004805E4"/>
    <w:rsid w:val="004809A4"/>
    <w:rsid w:val="004819B3"/>
    <w:rsid w:val="00481A7E"/>
    <w:rsid w:val="00486CB5"/>
    <w:rsid w:val="00487BEA"/>
    <w:rsid w:val="004918C8"/>
    <w:rsid w:val="00492059"/>
    <w:rsid w:val="004929F3"/>
    <w:rsid w:val="00492DE8"/>
    <w:rsid w:val="004940F5"/>
    <w:rsid w:val="00494869"/>
    <w:rsid w:val="004956C3"/>
    <w:rsid w:val="00495BEF"/>
    <w:rsid w:val="00496EE1"/>
    <w:rsid w:val="00497786"/>
    <w:rsid w:val="004A29F1"/>
    <w:rsid w:val="004A438B"/>
    <w:rsid w:val="004B059E"/>
    <w:rsid w:val="004B0D1D"/>
    <w:rsid w:val="004B26C6"/>
    <w:rsid w:val="004B2E03"/>
    <w:rsid w:val="004B3240"/>
    <w:rsid w:val="004B389D"/>
    <w:rsid w:val="004B4038"/>
    <w:rsid w:val="004C1BD0"/>
    <w:rsid w:val="004C26A6"/>
    <w:rsid w:val="004C27E8"/>
    <w:rsid w:val="004C3DC3"/>
    <w:rsid w:val="004C3FE0"/>
    <w:rsid w:val="004D10BF"/>
    <w:rsid w:val="004D4610"/>
    <w:rsid w:val="004D4AF8"/>
    <w:rsid w:val="004E2B5D"/>
    <w:rsid w:val="004E409F"/>
    <w:rsid w:val="004E4C7C"/>
    <w:rsid w:val="004E4CCE"/>
    <w:rsid w:val="004E59B5"/>
    <w:rsid w:val="004E5F95"/>
    <w:rsid w:val="004E6563"/>
    <w:rsid w:val="004E7782"/>
    <w:rsid w:val="004E7A0D"/>
    <w:rsid w:val="004F1A53"/>
    <w:rsid w:val="004F21B9"/>
    <w:rsid w:val="004F3475"/>
    <w:rsid w:val="004F4F67"/>
    <w:rsid w:val="004F5551"/>
    <w:rsid w:val="00500ACF"/>
    <w:rsid w:val="00502883"/>
    <w:rsid w:val="00502E66"/>
    <w:rsid w:val="0050302E"/>
    <w:rsid w:val="00507522"/>
    <w:rsid w:val="00507774"/>
    <w:rsid w:val="00512A34"/>
    <w:rsid w:val="005133C9"/>
    <w:rsid w:val="00517CBA"/>
    <w:rsid w:val="00517F3E"/>
    <w:rsid w:val="00521A6B"/>
    <w:rsid w:val="00522C8B"/>
    <w:rsid w:val="005275CB"/>
    <w:rsid w:val="00533583"/>
    <w:rsid w:val="00533E69"/>
    <w:rsid w:val="005343AA"/>
    <w:rsid w:val="00536C61"/>
    <w:rsid w:val="00537816"/>
    <w:rsid w:val="00537E11"/>
    <w:rsid w:val="00543CF1"/>
    <w:rsid w:val="0055052D"/>
    <w:rsid w:val="00550EF2"/>
    <w:rsid w:val="00553969"/>
    <w:rsid w:val="005546F4"/>
    <w:rsid w:val="00554D57"/>
    <w:rsid w:val="005562EE"/>
    <w:rsid w:val="00556C50"/>
    <w:rsid w:val="0055755E"/>
    <w:rsid w:val="005605E9"/>
    <w:rsid w:val="00560828"/>
    <w:rsid w:val="005653DA"/>
    <w:rsid w:val="00571766"/>
    <w:rsid w:val="0057528F"/>
    <w:rsid w:val="00576CE6"/>
    <w:rsid w:val="005773C3"/>
    <w:rsid w:val="00582CBF"/>
    <w:rsid w:val="0058317C"/>
    <w:rsid w:val="0058345B"/>
    <w:rsid w:val="0058358D"/>
    <w:rsid w:val="0058540A"/>
    <w:rsid w:val="00585F22"/>
    <w:rsid w:val="005866F4"/>
    <w:rsid w:val="00586CF4"/>
    <w:rsid w:val="00590326"/>
    <w:rsid w:val="00590A4F"/>
    <w:rsid w:val="00592BDD"/>
    <w:rsid w:val="00595E72"/>
    <w:rsid w:val="00596BFE"/>
    <w:rsid w:val="00597067"/>
    <w:rsid w:val="005A00DF"/>
    <w:rsid w:val="005A0B2A"/>
    <w:rsid w:val="005A0BA1"/>
    <w:rsid w:val="005A1802"/>
    <w:rsid w:val="005A1E2B"/>
    <w:rsid w:val="005A343C"/>
    <w:rsid w:val="005A7302"/>
    <w:rsid w:val="005B150C"/>
    <w:rsid w:val="005B2DFA"/>
    <w:rsid w:val="005B5E2D"/>
    <w:rsid w:val="005B5F0A"/>
    <w:rsid w:val="005C1F73"/>
    <w:rsid w:val="005C2041"/>
    <w:rsid w:val="005C4F68"/>
    <w:rsid w:val="005C6270"/>
    <w:rsid w:val="005C6351"/>
    <w:rsid w:val="005C6548"/>
    <w:rsid w:val="005C72D4"/>
    <w:rsid w:val="005C7ADD"/>
    <w:rsid w:val="005D050F"/>
    <w:rsid w:val="005D09E5"/>
    <w:rsid w:val="005D1BD0"/>
    <w:rsid w:val="005D5208"/>
    <w:rsid w:val="005D5283"/>
    <w:rsid w:val="005D539F"/>
    <w:rsid w:val="005D6975"/>
    <w:rsid w:val="005D69FB"/>
    <w:rsid w:val="005D6E63"/>
    <w:rsid w:val="005E14E6"/>
    <w:rsid w:val="005E62FC"/>
    <w:rsid w:val="005E7206"/>
    <w:rsid w:val="005E7A49"/>
    <w:rsid w:val="005F0727"/>
    <w:rsid w:val="005F0B9F"/>
    <w:rsid w:val="005F25C0"/>
    <w:rsid w:val="005F27EC"/>
    <w:rsid w:val="005F4510"/>
    <w:rsid w:val="005F7044"/>
    <w:rsid w:val="00601D5B"/>
    <w:rsid w:val="006026ED"/>
    <w:rsid w:val="00603958"/>
    <w:rsid w:val="00604850"/>
    <w:rsid w:val="00605649"/>
    <w:rsid w:val="006063DD"/>
    <w:rsid w:val="00606711"/>
    <w:rsid w:val="00607A22"/>
    <w:rsid w:val="00607D33"/>
    <w:rsid w:val="0061060F"/>
    <w:rsid w:val="006107A3"/>
    <w:rsid w:val="006107E8"/>
    <w:rsid w:val="006129BA"/>
    <w:rsid w:val="00615D70"/>
    <w:rsid w:val="00617424"/>
    <w:rsid w:val="00621D44"/>
    <w:rsid w:val="006225F2"/>
    <w:rsid w:val="0062387D"/>
    <w:rsid w:val="0062605F"/>
    <w:rsid w:val="00630095"/>
    <w:rsid w:val="006313C4"/>
    <w:rsid w:val="0063237E"/>
    <w:rsid w:val="00634170"/>
    <w:rsid w:val="0063595F"/>
    <w:rsid w:val="0063660D"/>
    <w:rsid w:val="0063701B"/>
    <w:rsid w:val="0063778F"/>
    <w:rsid w:val="006408E0"/>
    <w:rsid w:val="00640B94"/>
    <w:rsid w:val="00642108"/>
    <w:rsid w:val="00643C75"/>
    <w:rsid w:val="00644525"/>
    <w:rsid w:val="00650302"/>
    <w:rsid w:val="00651FB3"/>
    <w:rsid w:val="00653561"/>
    <w:rsid w:val="00656877"/>
    <w:rsid w:val="006570CD"/>
    <w:rsid w:val="006602AD"/>
    <w:rsid w:val="00661623"/>
    <w:rsid w:val="006632E9"/>
    <w:rsid w:val="00666F74"/>
    <w:rsid w:val="0066709D"/>
    <w:rsid w:val="006714A2"/>
    <w:rsid w:val="006714F7"/>
    <w:rsid w:val="006721D2"/>
    <w:rsid w:val="0067383E"/>
    <w:rsid w:val="00674A8A"/>
    <w:rsid w:val="00674C1D"/>
    <w:rsid w:val="00675125"/>
    <w:rsid w:val="00676CC8"/>
    <w:rsid w:val="006777EF"/>
    <w:rsid w:val="00677BF3"/>
    <w:rsid w:val="00680594"/>
    <w:rsid w:val="006824B4"/>
    <w:rsid w:val="006831E2"/>
    <w:rsid w:val="0068492E"/>
    <w:rsid w:val="00685C9A"/>
    <w:rsid w:val="00685FA7"/>
    <w:rsid w:val="00686E87"/>
    <w:rsid w:val="006904A8"/>
    <w:rsid w:val="0069071A"/>
    <w:rsid w:val="00691753"/>
    <w:rsid w:val="00692099"/>
    <w:rsid w:val="0069334E"/>
    <w:rsid w:val="006A16D4"/>
    <w:rsid w:val="006A2048"/>
    <w:rsid w:val="006A3672"/>
    <w:rsid w:val="006A3969"/>
    <w:rsid w:val="006A3971"/>
    <w:rsid w:val="006A5B45"/>
    <w:rsid w:val="006A7C7D"/>
    <w:rsid w:val="006B1945"/>
    <w:rsid w:val="006B2900"/>
    <w:rsid w:val="006B7576"/>
    <w:rsid w:val="006C2509"/>
    <w:rsid w:val="006C2FF2"/>
    <w:rsid w:val="006C4A64"/>
    <w:rsid w:val="006C5140"/>
    <w:rsid w:val="006C6464"/>
    <w:rsid w:val="006C6A3F"/>
    <w:rsid w:val="006C731C"/>
    <w:rsid w:val="006D0074"/>
    <w:rsid w:val="006D1389"/>
    <w:rsid w:val="006D1B85"/>
    <w:rsid w:val="006D3F81"/>
    <w:rsid w:val="006D58FE"/>
    <w:rsid w:val="006D62EB"/>
    <w:rsid w:val="006E0F72"/>
    <w:rsid w:val="006E18FE"/>
    <w:rsid w:val="006E1A2F"/>
    <w:rsid w:val="006E3D79"/>
    <w:rsid w:val="006E4223"/>
    <w:rsid w:val="006E4DB7"/>
    <w:rsid w:val="006E6DB4"/>
    <w:rsid w:val="006F054F"/>
    <w:rsid w:val="006F1CD1"/>
    <w:rsid w:val="006F291F"/>
    <w:rsid w:val="006F31F3"/>
    <w:rsid w:val="006F3365"/>
    <w:rsid w:val="006F387A"/>
    <w:rsid w:val="006F3FD8"/>
    <w:rsid w:val="006F585B"/>
    <w:rsid w:val="006F5C72"/>
    <w:rsid w:val="007003CD"/>
    <w:rsid w:val="00700B57"/>
    <w:rsid w:val="007023B2"/>
    <w:rsid w:val="00702423"/>
    <w:rsid w:val="0070368E"/>
    <w:rsid w:val="007057C7"/>
    <w:rsid w:val="00705B23"/>
    <w:rsid w:val="00710220"/>
    <w:rsid w:val="00712916"/>
    <w:rsid w:val="0071593B"/>
    <w:rsid w:val="00716419"/>
    <w:rsid w:val="0072033F"/>
    <w:rsid w:val="00721001"/>
    <w:rsid w:val="007212E5"/>
    <w:rsid w:val="00723162"/>
    <w:rsid w:val="0072448F"/>
    <w:rsid w:val="00725FFD"/>
    <w:rsid w:val="007265BC"/>
    <w:rsid w:val="00726D3B"/>
    <w:rsid w:val="007278C2"/>
    <w:rsid w:val="00734C61"/>
    <w:rsid w:val="0073673D"/>
    <w:rsid w:val="00737377"/>
    <w:rsid w:val="007407C7"/>
    <w:rsid w:val="00741A84"/>
    <w:rsid w:val="007445CB"/>
    <w:rsid w:val="00746FA0"/>
    <w:rsid w:val="00751913"/>
    <w:rsid w:val="00752318"/>
    <w:rsid w:val="00753237"/>
    <w:rsid w:val="00753DE3"/>
    <w:rsid w:val="00754161"/>
    <w:rsid w:val="007547EB"/>
    <w:rsid w:val="00762B4E"/>
    <w:rsid w:val="00766D47"/>
    <w:rsid w:val="007703A1"/>
    <w:rsid w:val="0077175A"/>
    <w:rsid w:val="00773518"/>
    <w:rsid w:val="00775169"/>
    <w:rsid w:val="00776800"/>
    <w:rsid w:val="007773E8"/>
    <w:rsid w:val="0077788E"/>
    <w:rsid w:val="007808CE"/>
    <w:rsid w:val="00783AC9"/>
    <w:rsid w:val="007858CF"/>
    <w:rsid w:val="00787FA9"/>
    <w:rsid w:val="0079072F"/>
    <w:rsid w:val="0079237A"/>
    <w:rsid w:val="0079391F"/>
    <w:rsid w:val="007A222A"/>
    <w:rsid w:val="007A29F9"/>
    <w:rsid w:val="007A2F54"/>
    <w:rsid w:val="007A5B22"/>
    <w:rsid w:val="007A7CDB"/>
    <w:rsid w:val="007B0D1E"/>
    <w:rsid w:val="007B3968"/>
    <w:rsid w:val="007C4762"/>
    <w:rsid w:val="007D1565"/>
    <w:rsid w:val="007D423B"/>
    <w:rsid w:val="007D4C93"/>
    <w:rsid w:val="007D60DD"/>
    <w:rsid w:val="007D7AAA"/>
    <w:rsid w:val="007D7F8C"/>
    <w:rsid w:val="007E151B"/>
    <w:rsid w:val="007E1F71"/>
    <w:rsid w:val="007E24A6"/>
    <w:rsid w:val="007E3058"/>
    <w:rsid w:val="007F2590"/>
    <w:rsid w:val="007F504B"/>
    <w:rsid w:val="007F623A"/>
    <w:rsid w:val="007F6D19"/>
    <w:rsid w:val="007F79E3"/>
    <w:rsid w:val="00800AF3"/>
    <w:rsid w:val="00801FDB"/>
    <w:rsid w:val="0080370B"/>
    <w:rsid w:val="00803C7D"/>
    <w:rsid w:val="00803CB8"/>
    <w:rsid w:val="00803E8E"/>
    <w:rsid w:val="00806B8E"/>
    <w:rsid w:val="00811A77"/>
    <w:rsid w:val="00811E55"/>
    <w:rsid w:val="0081367E"/>
    <w:rsid w:val="008146A2"/>
    <w:rsid w:val="008147CD"/>
    <w:rsid w:val="00814B0C"/>
    <w:rsid w:val="008174BD"/>
    <w:rsid w:val="008200AA"/>
    <w:rsid w:val="008328AE"/>
    <w:rsid w:val="00832D6E"/>
    <w:rsid w:val="00834710"/>
    <w:rsid w:val="008363E4"/>
    <w:rsid w:val="00837016"/>
    <w:rsid w:val="0083794B"/>
    <w:rsid w:val="008407AE"/>
    <w:rsid w:val="008413AF"/>
    <w:rsid w:val="0084146C"/>
    <w:rsid w:val="00841E4D"/>
    <w:rsid w:val="00842047"/>
    <w:rsid w:val="00843605"/>
    <w:rsid w:val="00844A47"/>
    <w:rsid w:val="00847BB1"/>
    <w:rsid w:val="00850C39"/>
    <w:rsid w:val="00850F32"/>
    <w:rsid w:val="0085381F"/>
    <w:rsid w:val="00854F97"/>
    <w:rsid w:val="0085644A"/>
    <w:rsid w:val="00862948"/>
    <w:rsid w:val="008638C8"/>
    <w:rsid w:val="00863DBF"/>
    <w:rsid w:val="008646DE"/>
    <w:rsid w:val="0086497B"/>
    <w:rsid w:val="00866C35"/>
    <w:rsid w:val="00866D7B"/>
    <w:rsid w:val="00867D5E"/>
    <w:rsid w:val="008703F0"/>
    <w:rsid w:val="0087063B"/>
    <w:rsid w:val="008733A0"/>
    <w:rsid w:val="00877E2C"/>
    <w:rsid w:val="0088036A"/>
    <w:rsid w:val="00881BCD"/>
    <w:rsid w:val="0088215D"/>
    <w:rsid w:val="00887C50"/>
    <w:rsid w:val="0089040B"/>
    <w:rsid w:val="00890522"/>
    <w:rsid w:val="00891069"/>
    <w:rsid w:val="00892C03"/>
    <w:rsid w:val="008962A1"/>
    <w:rsid w:val="008A1F29"/>
    <w:rsid w:val="008A2C6E"/>
    <w:rsid w:val="008A3FBE"/>
    <w:rsid w:val="008A6A40"/>
    <w:rsid w:val="008A78CA"/>
    <w:rsid w:val="008A7981"/>
    <w:rsid w:val="008B0192"/>
    <w:rsid w:val="008B0AD5"/>
    <w:rsid w:val="008B283A"/>
    <w:rsid w:val="008B3309"/>
    <w:rsid w:val="008B5D76"/>
    <w:rsid w:val="008B742E"/>
    <w:rsid w:val="008C0E9B"/>
    <w:rsid w:val="008C1372"/>
    <w:rsid w:val="008C16FA"/>
    <w:rsid w:val="008C2854"/>
    <w:rsid w:val="008C488D"/>
    <w:rsid w:val="008C4B6A"/>
    <w:rsid w:val="008D1534"/>
    <w:rsid w:val="008D25AA"/>
    <w:rsid w:val="008D2774"/>
    <w:rsid w:val="008D4D57"/>
    <w:rsid w:val="008D5449"/>
    <w:rsid w:val="008D5985"/>
    <w:rsid w:val="008D7E78"/>
    <w:rsid w:val="008E30CB"/>
    <w:rsid w:val="008E3D55"/>
    <w:rsid w:val="008E4580"/>
    <w:rsid w:val="008E4F21"/>
    <w:rsid w:val="008E6D63"/>
    <w:rsid w:val="008E6E63"/>
    <w:rsid w:val="008E7565"/>
    <w:rsid w:val="008F0AFA"/>
    <w:rsid w:val="008F186A"/>
    <w:rsid w:val="008F1D30"/>
    <w:rsid w:val="008F3FF1"/>
    <w:rsid w:val="008F4648"/>
    <w:rsid w:val="008F4977"/>
    <w:rsid w:val="008F56FD"/>
    <w:rsid w:val="008F7602"/>
    <w:rsid w:val="00901E35"/>
    <w:rsid w:val="00904BDA"/>
    <w:rsid w:val="00904F1F"/>
    <w:rsid w:val="0091018B"/>
    <w:rsid w:val="00910752"/>
    <w:rsid w:val="00913695"/>
    <w:rsid w:val="009167F1"/>
    <w:rsid w:val="00916FE0"/>
    <w:rsid w:val="009177E2"/>
    <w:rsid w:val="00917AA7"/>
    <w:rsid w:val="00921036"/>
    <w:rsid w:val="0092229C"/>
    <w:rsid w:val="00922DDE"/>
    <w:rsid w:val="00927203"/>
    <w:rsid w:val="00927C01"/>
    <w:rsid w:val="00932780"/>
    <w:rsid w:val="009357C2"/>
    <w:rsid w:val="00936250"/>
    <w:rsid w:val="009412FE"/>
    <w:rsid w:val="00941F20"/>
    <w:rsid w:val="009448A2"/>
    <w:rsid w:val="00946A93"/>
    <w:rsid w:val="00947305"/>
    <w:rsid w:val="009476DF"/>
    <w:rsid w:val="009517BE"/>
    <w:rsid w:val="009543E9"/>
    <w:rsid w:val="00954831"/>
    <w:rsid w:val="0095786D"/>
    <w:rsid w:val="0096236C"/>
    <w:rsid w:val="00962DC1"/>
    <w:rsid w:val="0096330C"/>
    <w:rsid w:val="00965489"/>
    <w:rsid w:val="00966F86"/>
    <w:rsid w:val="00971436"/>
    <w:rsid w:val="00971737"/>
    <w:rsid w:val="00975B97"/>
    <w:rsid w:val="00976427"/>
    <w:rsid w:val="009767A3"/>
    <w:rsid w:val="00980A4B"/>
    <w:rsid w:val="0098170F"/>
    <w:rsid w:val="00981A1D"/>
    <w:rsid w:val="00982F0D"/>
    <w:rsid w:val="00983057"/>
    <w:rsid w:val="0099006F"/>
    <w:rsid w:val="00990615"/>
    <w:rsid w:val="00992973"/>
    <w:rsid w:val="0099327D"/>
    <w:rsid w:val="00994465"/>
    <w:rsid w:val="009952B3"/>
    <w:rsid w:val="009A2B1A"/>
    <w:rsid w:val="009A3595"/>
    <w:rsid w:val="009A5372"/>
    <w:rsid w:val="009A5629"/>
    <w:rsid w:val="009A6060"/>
    <w:rsid w:val="009A6A0D"/>
    <w:rsid w:val="009A7787"/>
    <w:rsid w:val="009A7D86"/>
    <w:rsid w:val="009B31E9"/>
    <w:rsid w:val="009B62FE"/>
    <w:rsid w:val="009B64A0"/>
    <w:rsid w:val="009C259C"/>
    <w:rsid w:val="009C44CB"/>
    <w:rsid w:val="009C786B"/>
    <w:rsid w:val="009D0400"/>
    <w:rsid w:val="009D3EDB"/>
    <w:rsid w:val="009D5782"/>
    <w:rsid w:val="009D5ADA"/>
    <w:rsid w:val="009D6920"/>
    <w:rsid w:val="009D6DDB"/>
    <w:rsid w:val="009D7D78"/>
    <w:rsid w:val="009E0497"/>
    <w:rsid w:val="009E08CA"/>
    <w:rsid w:val="009E2A75"/>
    <w:rsid w:val="009E3848"/>
    <w:rsid w:val="009E5125"/>
    <w:rsid w:val="009E70DD"/>
    <w:rsid w:val="009E70DF"/>
    <w:rsid w:val="009E73DF"/>
    <w:rsid w:val="009F18FA"/>
    <w:rsid w:val="009F21C9"/>
    <w:rsid w:val="009F296E"/>
    <w:rsid w:val="009F3CF4"/>
    <w:rsid w:val="009F548C"/>
    <w:rsid w:val="009F68D1"/>
    <w:rsid w:val="009F7014"/>
    <w:rsid w:val="009F7BEB"/>
    <w:rsid w:val="00A00035"/>
    <w:rsid w:val="00A006B5"/>
    <w:rsid w:val="00A00717"/>
    <w:rsid w:val="00A00921"/>
    <w:rsid w:val="00A02198"/>
    <w:rsid w:val="00A04000"/>
    <w:rsid w:val="00A05C09"/>
    <w:rsid w:val="00A0704D"/>
    <w:rsid w:val="00A07D62"/>
    <w:rsid w:val="00A10818"/>
    <w:rsid w:val="00A11AB3"/>
    <w:rsid w:val="00A11DE7"/>
    <w:rsid w:val="00A14738"/>
    <w:rsid w:val="00A163C6"/>
    <w:rsid w:val="00A1794E"/>
    <w:rsid w:val="00A22637"/>
    <w:rsid w:val="00A22D8D"/>
    <w:rsid w:val="00A23A13"/>
    <w:rsid w:val="00A23E53"/>
    <w:rsid w:val="00A25933"/>
    <w:rsid w:val="00A26292"/>
    <w:rsid w:val="00A26D69"/>
    <w:rsid w:val="00A26EBE"/>
    <w:rsid w:val="00A275A8"/>
    <w:rsid w:val="00A3043A"/>
    <w:rsid w:val="00A32DD2"/>
    <w:rsid w:val="00A332EB"/>
    <w:rsid w:val="00A33EA1"/>
    <w:rsid w:val="00A37A45"/>
    <w:rsid w:val="00A400C9"/>
    <w:rsid w:val="00A40B9C"/>
    <w:rsid w:val="00A4170A"/>
    <w:rsid w:val="00A4240B"/>
    <w:rsid w:val="00A42C46"/>
    <w:rsid w:val="00A44DAF"/>
    <w:rsid w:val="00A45CDE"/>
    <w:rsid w:val="00A46322"/>
    <w:rsid w:val="00A47CD6"/>
    <w:rsid w:val="00A52B5E"/>
    <w:rsid w:val="00A533CC"/>
    <w:rsid w:val="00A54109"/>
    <w:rsid w:val="00A55595"/>
    <w:rsid w:val="00A55E29"/>
    <w:rsid w:val="00A564FB"/>
    <w:rsid w:val="00A603B0"/>
    <w:rsid w:val="00A6191D"/>
    <w:rsid w:val="00A622EE"/>
    <w:rsid w:val="00A62E83"/>
    <w:rsid w:val="00A67906"/>
    <w:rsid w:val="00A71065"/>
    <w:rsid w:val="00A75809"/>
    <w:rsid w:val="00A75994"/>
    <w:rsid w:val="00A75EF3"/>
    <w:rsid w:val="00A769E6"/>
    <w:rsid w:val="00A77B5E"/>
    <w:rsid w:val="00A829C1"/>
    <w:rsid w:val="00A83754"/>
    <w:rsid w:val="00A84414"/>
    <w:rsid w:val="00A86F6D"/>
    <w:rsid w:val="00A9007B"/>
    <w:rsid w:val="00A90308"/>
    <w:rsid w:val="00A9081B"/>
    <w:rsid w:val="00A94C33"/>
    <w:rsid w:val="00A953BB"/>
    <w:rsid w:val="00A958A7"/>
    <w:rsid w:val="00A96DBA"/>
    <w:rsid w:val="00A973F1"/>
    <w:rsid w:val="00AA090A"/>
    <w:rsid w:val="00AA0F9C"/>
    <w:rsid w:val="00AA14A0"/>
    <w:rsid w:val="00AA22DF"/>
    <w:rsid w:val="00AA2F95"/>
    <w:rsid w:val="00AA58CC"/>
    <w:rsid w:val="00AB1E64"/>
    <w:rsid w:val="00AB3518"/>
    <w:rsid w:val="00AB36AC"/>
    <w:rsid w:val="00AB3C82"/>
    <w:rsid w:val="00AB5A3A"/>
    <w:rsid w:val="00AB78A3"/>
    <w:rsid w:val="00AC10B7"/>
    <w:rsid w:val="00AC1805"/>
    <w:rsid w:val="00AC2836"/>
    <w:rsid w:val="00AC2CC3"/>
    <w:rsid w:val="00AC2D6F"/>
    <w:rsid w:val="00AC37D3"/>
    <w:rsid w:val="00AC5B03"/>
    <w:rsid w:val="00AC6A35"/>
    <w:rsid w:val="00AC7943"/>
    <w:rsid w:val="00AD06A7"/>
    <w:rsid w:val="00AD13C7"/>
    <w:rsid w:val="00AD5E49"/>
    <w:rsid w:val="00AD69B6"/>
    <w:rsid w:val="00AE1F98"/>
    <w:rsid w:val="00AE3352"/>
    <w:rsid w:val="00AE4368"/>
    <w:rsid w:val="00AE5C67"/>
    <w:rsid w:val="00AE6969"/>
    <w:rsid w:val="00AE73B7"/>
    <w:rsid w:val="00AF4ED1"/>
    <w:rsid w:val="00B0045A"/>
    <w:rsid w:val="00B0084F"/>
    <w:rsid w:val="00B0166C"/>
    <w:rsid w:val="00B02E27"/>
    <w:rsid w:val="00B048D2"/>
    <w:rsid w:val="00B06F6F"/>
    <w:rsid w:val="00B10147"/>
    <w:rsid w:val="00B10FAD"/>
    <w:rsid w:val="00B12230"/>
    <w:rsid w:val="00B127F9"/>
    <w:rsid w:val="00B16B0C"/>
    <w:rsid w:val="00B17AEE"/>
    <w:rsid w:val="00B22161"/>
    <w:rsid w:val="00B22249"/>
    <w:rsid w:val="00B24620"/>
    <w:rsid w:val="00B275F3"/>
    <w:rsid w:val="00B31337"/>
    <w:rsid w:val="00B31D5D"/>
    <w:rsid w:val="00B33106"/>
    <w:rsid w:val="00B33E26"/>
    <w:rsid w:val="00B35ACD"/>
    <w:rsid w:val="00B4154A"/>
    <w:rsid w:val="00B41DCE"/>
    <w:rsid w:val="00B41DF5"/>
    <w:rsid w:val="00B424BB"/>
    <w:rsid w:val="00B428EA"/>
    <w:rsid w:val="00B44360"/>
    <w:rsid w:val="00B45AD2"/>
    <w:rsid w:val="00B512A4"/>
    <w:rsid w:val="00B522E2"/>
    <w:rsid w:val="00B5258F"/>
    <w:rsid w:val="00B55847"/>
    <w:rsid w:val="00B558DF"/>
    <w:rsid w:val="00B62D94"/>
    <w:rsid w:val="00B62F5C"/>
    <w:rsid w:val="00B63BE3"/>
    <w:rsid w:val="00B64425"/>
    <w:rsid w:val="00B6604B"/>
    <w:rsid w:val="00B70ADB"/>
    <w:rsid w:val="00B76DDB"/>
    <w:rsid w:val="00B77ECA"/>
    <w:rsid w:val="00B77F89"/>
    <w:rsid w:val="00B8033C"/>
    <w:rsid w:val="00B805B1"/>
    <w:rsid w:val="00B8212E"/>
    <w:rsid w:val="00B8389D"/>
    <w:rsid w:val="00B87117"/>
    <w:rsid w:val="00B9022F"/>
    <w:rsid w:val="00B92864"/>
    <w:rsid w:val="00B95C47"/>
    <w:rsid w:val="00B965E7"/>
    <w:rsid w:val="00BA0D8F"/>
    <w:rsid w:val="00BA0DAA"/>
    <w:rsid w:val="00BA2955"/>
    <w:rsid w:val="00BA3233"/>
    <w:rsid w:val="00BA4934"/>
    <w:rsid w:val="00BA5300"/>
    <w:rsid w:val="00BA6505"/>
    <w:rsid w:val="00BA72DE"/>
    <w:rsid w:val="00BA7CDD"/>
    <w:rsid w:val="00BB048F"/>
    <w:rsid w:val="00BB134B"/>
    <w:rsid w:val="00BB1697"/>
    <w:rsid w:val="00BB711E"/>
    <w:rsid w:val="00BB75B0"/>
    <w:rsid w:val="00BC21BF"/>
    <w:rsid w:val="00BC24AB"/>
    <w:rsid w:val="00BC3720"/>
    <w:rsid w:val="00BC599F"/>
    <w:rsid w:val="00BC6275"/>
    <w:rsid w:val="00BC7FB8"/>
    <w:rsid w:val="00BD0396"/>
    <w:rsid w:val="00BD06CC"/>
    <w:rsid w:val="00BD21F1"/>
    <w:rsid w:val="00BD2341"/>
    <w:rsid w:val="00BD5025"/>
    <w:rsid w:val="00BE1D42"/>
    <w:rsid w:val="00BE2883"/>
    <w:rsid w:val="00BE6C87"/>
    <w:rsid w:val="00BE76E4"/>
    <w:rsid w:val="00BF5138"/>
    <w:rsid w:val="00BF5A36"/>
    <w:rsid w:val="00BF758B"/>
    <w:rsid w:val="00BF7826"/>
    <w:rsid w:val="00BF7A6C"/>
    <w:rsid w:val="00C01511"/>
    <w:rsid w:val="00C02178"/>
    <w:rsid w:val="00C02BA3"/>
    <w:rsid w:val="00C02EBD"/>
    <w:rsid w:val="00C039C8"/>
    <w:rsid w:val="00C03C15"/>
    <w:rsid w:val="00C042EA"/>
    <w:rsid w:val="00C12788"/>
    <w:rsid w:val="00C13058"/>
    <w:rsid w:val="00C13A3B"/>
    <w:rsid w:val="00C13F9E"/>
    <w:rsid w:val="00C16903"/>
    <w:rsid w:val="00C21466"/>
    <w:rsid w:val="00C218B7"/>
    <w:rsid w:val="00C22E75"/>
    <w:rsid w:val="00C23188"/>
    <w:rsid w:val="00C23919"/>
    <w:rsid w:val="00C23A2D"/>
    <w:rsid w:val="00C23BA2"/>
    <w:rsid w:val="00C24010"/>
    <w:rsid w:val="00C27376"/>
    <w:rsid w:val="00C3180C"/>
    <w:rsid w:val="00C32036"/>
    <w:rsid w:val="00C32AD2"/>
    <w:rsid w:val="00C32FF4"/>
    <w:rsid w:val="00C34F4B"/>
    <w:rsid w:val="00C352EB"/>
    <w:rsid w:val="00C368FB"/>
    <w:rsid w:val="00C4138F"/>
    <w:rsid w:val="00C41830"/>
    <w:rsid w:val="00C46917"/>
    <w:rsid w:val="00C47292"/>
    <w:rsid w:val="00C4758F"/>
    <w:rsid w:val="00C47975"/>
    <w:rsid w:val="00C504B8"/>
    <w:rsid w:val="00C53C6E"/>
    <w:rsid w:val="00C54A85"/>
    <w:rsid w:val="00C5716A"/>
    <w:rsid w:val="00C5765A"/>
    <w:rsid w:val="00C603FA"/>
    <w:rsid w:val="00C60800"/>
    <w:rsid w:val="00C60B88"/>
    <w:rsid w:val="00C64F3E"/>
    <w:rsid w:val="00C706CF"/>
    <w:rsid w:val="00C7706F"/>
    <w:rsid w:val="00C80D51"/>
    <w:rsid w:val="00C81713"/>
    <w:rsid w:val="00C81DB5"/>
    <w:rsid w:val="00C842CD"/>
    <w:rsid w:val="00C85A10"/>
    <w:rsid w:val="00C86D88"/>
    <w:rsid w:val="00C91BE0"/>
    <w:rsid w:val="00C977E8"/>
    <w:rsid w:val="00CA2A90"/>
    <w:rsid w:val="00CA3A79"/>
    <w:rsid w:val="00CA7582"/>
    <w:rsid w:val="00CB383B"/>
    <w:rsid w:val="00CB3B39"/>
    <w:rsid w:val="00CB3D69"/>
    <w:rsid w:val="00CB4BFF"/>
    <w:rsid w:val="00CB609E"/>
    <w:rsid w:val="00CB613B"/>
    <w:rsid w:val="00CB6D76"/>
    <w:rsid w:val="00CB7DDF"/>
    <w:rsid w:val="00CC086C"/>
    <w:rsid w:val="00CC1D4D"/>
    <w:rsid w:val="00CC1EEF"/>
    <w:rsid w:val="00CC40B6"/>
    <w:rsid w:val="00CC5D0A"/>
    <w:rsid w:val="00CC7E0E"/>
    <w:rsid w:val="00CC7F15"/>
    <w:rsid w:val="00CD17F2"/>
    <w:rsid w:val="00CD3445"/>
    <w:rsid w:val="00CD35A9"/>
    <w:rsid w:val="00CD61E8"/>
    <w:rsid w:val="00CE0D54"/>
    <w:rsid w:val="00CE103A"/>
    <w:rsid w:val="00CE13B7"/>
    <w:rsid w:val="00CE3268"/>
    <w:rsid w:val="00CE3B82"/>
    <w:rsid w:val="00CE6372"/>
    <w:rsid w:val="00CF0D71"/>
    <w:rsid w:val="00CF0E8D"/>
    <w:rsid w:val="00CF4409"/>
    <w:rsid w:val="00CF48E1"/>
    <w:rsid w:val="00CF4D32"/>
    <w:rsid w:val="00CF64A8"/>
    <w:rsid w:val="00D00503"/>
    <w:rsid w:val="00D005A1"/>
    <w:rsid w:val="00D0506F"/>
    <w:rsid w:val="00D06789"/>
    <w:rsid w:val="00D072B5"/>
    <w:rsid w:val="00D07437"/>
    <w:rsid w:val="00D11788"/>
    <w:rsid w:val="00D1641F"/>
    <w:rsid w:val="00D17F22"/>
    <w:rsid w:val="00D17F3A"/>
    <w:rsid w:val="00D20FFA"/>
    <w:rsid w:val="00D212A8"/>
    <w:rsid w:val="00D22170"/>
    <w:rsid w:val="00D24BB9"/>
    <w:rsid w:val="00D25997"/>
    <w:rsid w:val="00D27588"/>
    <w:rsid w:val="00D27874"/>
    <w:rsid w:val="00D30634"/>
    <w:rsid w:val="00D32202"/>
    <w:rsid w:val="00D327C6"/>
    <w:rsid w:val="00D329EF"/>
    <w:rsid w:val="00D361D9"/>
    <w:rsid w:val="00D365FB"/>
    <w:rsid w:val="00D41CD5"/>
    <w:rsid w:val="00D41F7E"/>
    <w:rsid w:val="00D47B0D"/>
    <w:rsid w:val="00D5081F"/>
    <w:rsid w:val="00D547E7"/>
    <w:rsid w:val="00D550D4"/>
    <w:rsid w:val="00D553B7"/>
    <w:rsid w:val="00D565E3"/>
    <w:rsid w:val="00D62B21"/>
    <w:rsid w:val="00D6401D"/>
    <w:rsid w:val="00D70AC1"/>
    <w:rsid w:val="00D70DBE"/>
    <w:rsid w:val="00D72947"/>
    <w:rsid w:val="00D7390C"/>
    <w:rsid w:val="00D754E9"/>
    <w:rsid w:val="00D7554C"/>
    <w:rsid w:val="00D87C36"/>
    <w:rsid w:val="00D93136"/>
    <w:rsid w:val="00D932ED"/>
    <w:rsid w:val="00D9743C"/>
    <w:rsid w:val="00DA03A5"/>
    <w:rsid w:val="00DA4CB8"/>
    <w:rsid w:val="00DA510C"/>
    <w:rsid w:val="00DA51DB"/>
    <w:rsid w:val="00DB0367"/>
    <w:rsid w:val="00DB0376"/>
    <w:rsid w:val="00DB0EA6"/>
    <w:rsid w:val="00DB302F"/>
    <w:rsid w:val="00DB4583"/>
    <w:rsid w:val="00DC2AD9"/>
    <w:rsid w:val="00DC3724"/>
    <w:rsid w:val="00DD2F4F"/>
    <w:rsid w:val="00DD3BE8"/>
    <w:rsid w:val="00DD3C58"/>
    <w:rsid w:val="00DD5855"/>
    <w:rsid w:val="00DE25B6"/>
    <w:rsid w:val="00DE2C9C"/>
    <w:rsid w:val="00DE352A"/>
    <w:rsid w:val="00DE356E"/>
    <w:rsid w:val="00DE447A"/>
    <w:rsid w:val="00DE4838"/>
    <w:rsid w:val="00DE5040"/>
    <w:rsid w:val="00DE6BAC"/>
    <w:rsid w:val="00DE76DE"/>
    <w:rsid w:val="00DE7EDE"/>
    <w:rsid w:val="00DF23C9"/>
    <w:rsid w:val="00DF3039"/>
    <w:rsid w:val="00DF3DF6"/>
    <w:rsid w:val="00DF4F1C"/>
    <w:rsid w:val="00DF53B2"/>
    <w:rsid w:val="00DF7BEC"/>
    <w:rsid w:val="00E02152"/>
    <w:rsid w:val="00E0251C"/>
    <w:rsid w:val="00E03924"/>
    <w:rsid w:val="00E061BA"/>
    <w:rsid w:val="00E06805"/>
    <w:rsid w:val="00E06E34"/>
    <w:rsid w:val="00E07CDC"/>
    <w:rsid w:val="00E07F84"/>
    <w:rsid w:val="00E1096E"/>
    <w:rsid w:val="00E1273D"/>
    <w:rsid w:val="00E13C2B"/>
    <w:rsid w:val="00E1412D"/>
    <w:rsid w:val="00E16E8F"/>
    <w:rsid w:val="00E16EB8"/>
    <w:rsid w:val="00E17363"/>
    <w:rsid w:val="00E21FBF"/>
    <w:rsid w:val="00E2280F"/>
    <w:rsid w:val="00E2327C"/>
    <w:rsid w:val="00E236ED"/>
    <w:rsid w:val="00E23D03"/>
    <w:rsid w:val="00E24BE2"/>
    <w:rsid w:val="00E2732C"/>
    <w:rsid w:val="00E27532"/>
    <w:rsid w:val="00E33FEB"/>
    <w:rsid w:val="00E341F8"/>
    <w:rsid w:val="00E379F4"/>
    <w:rsid w:val="00E401D9"/>
    <w:rsid w:val="00E40C04"/>
    <w:rsid w:val="00E41D20"/>
    <w:rsid w:val="00E41FC6"/>
    <w:rsid w:val="00E423D0"/>
    <w:rsid w:val="00E44967"/>
    <w:rsid w:val="00E45716"/>
    <w:rsid w:val="00E45B0B"/>
    <w:rsid w:val="00E46E4F"/>
    <w:rsid w:val="00E51C93"/>
    <w:rsid w:val="00E534A8"/>
    <w:rsid w:val="00E53FCF"/>
    <w:rsid w:val="00E5511F"/>
    <w:rsid w:val="00E56005"/>
    <w:rsid w:val="00E56A62"/>
    <w:rsid w:val="00E6017B"/>
    <w:rsid w:val="00E609CE"/>
    <w:rsid w:val="00E621D3"/>
    <w:rsid w:val="00E64019"/>
    <w:rsid w:val="00E71E0D"/>
    <w:rsid w:val="00E722F8"/>
    <w:rsid w:val="00E72DF3"/>
    <w:rsid w:val="00E73554"/>
    <w:rsid w:val="00E74965"/>
    <w:rsid w:val="00E761B2"/>
    <w:rsid w:val="00E80B32"/>
    <w:rsid w:val="00E80C7D"/>
    <w:rsid w:val="00E80D2D"/>
    <w:rsid w:val="00E870AF"/>
    <w:rsid w:val="00E8719E"/>
    <w:rsid w:val="00E93E4D"/>
    <w:rsid w:val="00E95E6C"/>
    <w:rsid w:val="00E96511"/>
    <w:rsid w:val="00E97457"/>
    <w:rsid w:val="00EA0227"/>
    <w:rsid w:val="00EA1429"/>
    <w:rsid w:val="00EA18B0"/>
    <w:rsid w:val="00EA5A18"/>
    <w:rsid w:val="00EA63E1"/>
    <w:rsid w:val="00EB0BCF"/>
    <w:rsid w:val="00EB1F96"/>
    <w:rsid w:val="00EB2AE5"/>
    <w:rsid w:val="00EB404E"/>
    <w:rsid w:val="00EB5B60"/>
    <w:rsid w:val="00EB751B"/>
    <w:rsid w:val="00EB75A1"/>
    <w:rsid w:val="00EC1F02"/>
    <w:rsid w:val="00EC26EE"/>
    <w:rsid w:val="00EC400A"/>
    <w:rsid w:val="00EC6091"/>
    <w:rsid w:val="00ED0647"/>
    <w:rsid w:val="00ED0737"/>
    <w:rsid w:val="00ED10EB"/>
    <w:rsid w:val="00ED25D8"/>
    <w:rsid w:val="00ED6442"/>
    <w:rsid w:val="00ED72C3"/>
    <w:rsid w:val="00ED7856"/>
    <w:rsid w:val="00EE2B4F"/>
    <w:rsid w:val="00EE2BB5"/>
    <w:rsid w:val="00EE381B"/>
    <w:rsid w:val="00EE52FE"/>
    <w:rsid w:val="00EE5A3A"/>
    <w:rsid w:val="00EF1B18"/>
    <w:rsid w:val="00EF3F19"/>
    <w:rsid w:val="00EF4593"/>
    <w:rsid w:val="00EF4E1E"/>
    <w:rsid w:val="00EF5F1C"/>
    <w:rsid w:val="00EF6C3D"/>
    <w:rsid w:val="00EF7D28"/>
    <w:rsid w:val="00F03C85"/>
    <w:rsid w:val="00F03E4C"/>
    <w:rsid w:val="00F0540B"/>
    <w:rsid w:val="00F116F0"/>
    <w:rsid w:val="00F128D5"/>
    <w:rsid w:val="00F132FF"/>
    <w:rsid w:val="00F15AF5"/>
    <w:rsid w:val="00F17AE1"/>
    <w:rsid w:val="00F2443D"/>
    <w:rsid w:val="00F26AD3"/>
    <w:rsid w:val="00F273A7"/>
    <w:rsid w:val="00F30389"/>
    <w:rsid w:val="00F30A63"/>
    <w:rsid w:val="00F30F8B"/>
    <w:rsid w:val="00F35A1E"/>
    <w:rsid w:val="00F36404"/>
    <w:rsid w:val="00F405B3"/>
    <w:rsid w:val="00F421FC"/>
    <w:rsid w:val="00F43DC9"/>
    <w:rsid w:val="00F44EBE"/>
    <w:rsid w:val="00F47634"/>
    <w:rsid w:val="00F5012C"/>
    <w:rsid w:val="00F5026C"/>
    <w:rsid w:val="00F50F0B"/>
    <w:rsid w:val="00F550D7"/>
    <w:rsid w:val="00F5523D"/>
    <w:rsid w:val="00F565A3"/>
    <w:rsid w:val="00F56ACA"/>
    <w:rsid w:val="00F57960"/>
    <w:rsid w:val="00F61E00"/>
    <w:rsid w:val="00F63D48"/>
    <w:rsid w:val="00F64AB2"/>
    <w:rsid w:val="00F65107"/>
    <w:rsid w:val="00F70F14"/>
    <w:rsid w:val="00F71716"/>
    <w:rsid w:val="00F76094"/>
    <w:rsid w:val="00F760E7"/>
    <w:rsid w:val="00F76DC5"/>
    <w:rsid w:val="00F81B59"/>
    <w:rsid w:val="00F85907"/>
    <w:rsid w:val="00F85F21"/>
    <w:rsid w:val="00F871BF"/>
    <w:rsid w:val="00F904E7"/>
    <w:rsid w:val="00F94238"/>
    <w:rsid w:val="00F9464E"/>
    <w:rsid w:val="00F96EC3"/>
    <w:rsid w:val="00F979ED"/>
    <w:rsid w:val="00FA1DB5"/>
    <w:rsid w:val="00FA2E3A"/>
    <w:rsid w:val="00FA7B64"/>
    <w:rsid w:val="00FB04F2"/>
    <w:rsid w:val="00FB2907"/>
    <w:rsid w:val="00FB40BD"/>
    <w:rsid w:val="00FC3798"/>
    <w:rsid w:val="00FC3EC5"/>
    <w:rsid w:val="00FC433F"/>
    <w:rsid w:val="00FC5AA7"/>
    <w:rsid w:val="00FC5D14"/>
    <w:rsid w:val="00FC7498"/>
    <w:rsid w:val="00FC7ABA"/>
    <w:rsid w:val="00FD065F"/>
    <w:rsid w:val="00FD19BA"/>
    <w:rsid w:val="00FD3606"/>
    <w:rsid w:val="00FD37A0"/>
    <w:rsid w:val="00FD398E"/>
    <w:rsid w:val="00FD4CAB"/>
    <w:rsid w:val="00FD4FE6"/>
    <w:rsid w:val="00FD50D6"/>
    <w:rsid w:val="00FD689C"/>
    <w:rsid w:val="00FD778F"/>
    <w:rsid w:val="00FE18B3"/>
    <w:rsid w:val="00FE1EB3"/>
    <w:rsid w:val="00FE2E55"/>
    <w:rsid w:val="00FE2EAA"/>
    <w:rsid w:val="00FE40BA"/>
    <w:rsid w:val="00FE59F4"/>
    <w:rsid w:val="00FE5D52"/>
    <w:rsid w:val="00FE66C3"/>
    <w:rsid w:val="00FF033A"/>
    <w:rsid w:val="00FF1FDB"/>
    <w:rsid w:val="00FF270D"/>
    <w:rsid w:val="00FF5F7B"/>
    <w:rsid w:val="00FF7115"/>
    <w:rsid w:val="044119D7"/>
    <w:rsid w:val="09B24642"/>
    <w:rsid w:val="0B19630D"/>
    <w:rsid w:val="16911552"/>
    <w:rsid w:val="3C110197"/>
    <w:rsid w:val="5FDA5BC1"/>
    <w:rsid w:val="6A0504B0"/>
    <w:rsid w:val="6BFB12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Hyperlink"/>
    <w:qFormat/>
    <w:uiPriority w:val="99"/>
    <w:rPr>
      <w:rFonts w:cs="Times New Roman"/>
      <w:color w:val="0000FF"/>
      <w:u w:val="single"/>
    </w:rPr>
  </w:style>
  <w:style w:type="character" w:customStyle="1" w:styleId="10">
    <w:name w:val="页眉 Char"/>
    <w:link w:val="4"/>
    <w:qFormat/>
    <w:locked/>
    <w:uiPriority w:val="99"/>
    <w:rPr>
      <w:rFonts w:ascii="Calibri" w:hAnsi="Calibri" w:eastAsia="宋体" w:cs="Times New Roman"/>
      <w:sz w:val="18"/>
      <w:szCs w:val="18"/>
    </w:rPr>
  </w:style>
  <w:style w:type="character" w:customStyle="1" w:styleId="11">
    <w:name w:val="页脚 Char"/>
    <w:link w:val="3"/>
    <w:qFormat/>
    <w:locked/>
    <w:uiPriority w:val="99"/>
    <w:rPr>
      <w:rFonts w:ascii="Calibri" w:hAnsi="Calibri" w:eastAsia="宋体" w:cs="Times New Roman"/>
      <w:sz w:val="18"/>
      <w:szCs w:val="18"/>
    </w:rPr>
  </w:style>
  <w:style w:type="paragraph" w:styleId="12">
    <w:name w:val="List Paragraph"/>
    <w:basedOn w:val="1"/>
    <w:qFormat/>
    <w:uiPriority w:val="99"/>
    <w:pPr>
      <w:ind w:firstLine="420" w:firstLineChars="200"/>
    </w:pPr>
  </w:style>
  <w:style w:type="character" w:customStyle="1" w:styleId="13">
    <w:name w:val="批注框文本 Char"/>
    <w:link w:val="2"/>
    <w:semiHidden/>
    <w:qFormat/>
    <w:locked/>
    <w:uiPriority w:val="99"/>
    <w:rPr>
      <w:rFonts w:ascii="Calibri" w:hAnsi="Calibri" w:eastAsia="宋体" w:cs="Times New Roman"/>
      <w:sz w:val="18"/>
      <w:szCs w:val="18"/>
    </w:rPr>
  </w:style>
  <w:style w:type="paragraph" w:customStyle="1" w:styleId="14">
    <w:name w:val="列表段落1"/>
    <w:basedOn w:val="1"/>
    <w:qFormat/>
    <w:uiPriority w:val="34"/>
    <w:pPr>
      <w:ind w:firstLine="420" w:firstLineChars="200"/>
    </w:pPr>
    <w:rPr>
      <w:rFonts w:eastAsia="仿宋"/>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1703</Words>
  <Characters>9709</Characters>
  <Lines>80</Lines>
  <Paragraphs>22</Paragraphs>
  <TotalTime>380</TotalTime>
  <ScaleCrop>false</ScaleCrop>
  <LinksUpToDate>false</LinksUpToDate>
  <CharactersWithSpaces>11390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2020-06-30T01:27:00Z</dcterms:created>
  <dc:creator>刘根平</dc:creator>
  <cp:lastModifiedBy>liciac</cp:lastModifiedBy>
  <cp:lastPrinted>2021-02-25T08:29:00Z</cp:lastPrinted>
  <dcterms:modified xsi:type="dcterms:W3CDTF">2021-02-26T05:02:38Z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