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FE" w:rsidRPr="00691C73" w:rsidRDefault="00AE42FE" w:rsidP="00656A0B">
      <w:pPr>
        <w:spacing w:line="595" w:lineRule="exact"/>
        <w:jc w:val="center"/>
        <w:rPr>
          <w:rFonts w:ascii="方正小标宋简体" w:eastAsia="方正小标宋简体"/>
          <w:sz w:val="42"/>
          <w:szCs w:val="42"/>
        </w:rPr>
      </w:pPr>
      <w:r w:rsidRPr="00691C73">
        <w:rPr>
          <w:rFonts w:ascii="方正小标宋简体" w:eastAsia="方正小标宋简体" w:hint="eastAsia"/>
          <w:sz w:val="42"/>
          <w:szCs w:val="42"/>
        </w:rPr>
        <w:t>江西省药品监督管理局</w:t>
      </w:r>
    </w:p>
    <w:p w:rsidR="00AE42FE" w:rsidRPr="00691C73" w:rsidRDefault="00AE42FE" w:rsidP="00656A0B">
      <w:pPr>
        <w:spacing w:line="595" w:lineRule="exact"/>
        <w:jc w:val="center"/>
        <w:rPr>
          <w:rFonts w:ascii="方正小标宋简体" w:eastAsia="方正小标宋简体"/>
          <w:sz w:val="42"/>
          <w:szCs w:val="42"/>
        </w:rPr>
      </w:pPr>
      <w:r w:rsidRPr="00691C73">
        <w:rPr>
          <w:rFonts w:ascii="方正小标宋简体" w:eastAsia="方正小标宋简体" w:hint="eastAsia"/>
          <w:sz w:val="42"/>
          <w:szCs w:val="42"/>
        </w:rPr>
        <w:t>关于明确药品现代物流条件的通知</w:t>
      </w:r>
    </w:p>
    <w:p w:rsidR="00AE42FE" w:rsidRPr="00A473A1" w:rsidRDefault="00D16A1F" w:rsidP="00656A0B">
      <w:pPr>
        <w:spacing w:line="595" w:lineRule="exact"/>
        <w:jc w:val="center"/>
        <w:rPr>
          <w:rFonts w:ascii="楷体_GB2312" w:eastAsia="楷体_GB2312"/>
          <w:b/>
        </w:rPr>
      </w:pPr>
      <w:r w:rsidRPr="00A473A1">
        <w:rPr>
          <w:rFonts w:ascii="楷体_GB2312" w:eastAsia="楷体_GB2312" w:hint="eastAsia"/>
          <w:b/>
        </w:rPr>
        <w:t>（征求意见稿）</w:t>
      </w:r>
    </w:p>
    <w:p w:rsidR="00D16A1F" w:rsidRDefault="00D16A1F" w:rsidP="00656A0B">
      <w:pPr>
        <w:spacing w:line="595" w:lineRule="exact"/>
      </w:pPr>
    </w:p>
    <w:p w:rsidR="00AE42FE" w:rsidRPr="00691C73" w:rsidRDefault="00AE42FE" w:rsidP="00656A0B">
      <w:pPr>
        <w:spacing w:line="595" w:lineRule="exact"/>
      </w:pPr>
      <w:r w:rsidRPr="00691C73">
        <w:rPr>
          <w:rFonts w:hint="eastAsia"/>
        </w:rPr>
        <w:t>各药品批发企业，省药品认证审评中心、省药品检查员中心、樟树药品监督管理局：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根据原国家食品药品监督管理总局《关于全面监督实施新修订&lt;药品经营质量管理规范&gt;有关事项的通知》（食药监办药化〔2015〕176号）中“新开办药品批发企业必须具备药品现代物流条件”要求，为提升药品批发企业整体管理水平，依据《药品经营许可证管理办法》（国家食品药品监督管理局令第6号）和《药品经营质量管理规范》，现就我省新开办药品批发企业应具备的现代物流条件明确如下：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t>一、仓储设施设备应符合药品储存要求，并</w:t>
      </w:r>
      <w:r w:rsidRPr="00691C73">
        <w:rPr>
          <w:rFonts w:hAnsi="宋体" w:hint="eastAsia"/>
          <w:spacing w:val="-8"/>
        </w:rPr>
        <w:t>满足物流作业流程和物流规模的需要，</w:t>
      </w:r>
      <w:r w:rsidRPr="00691C73">
        <w:t>采用信息化手段实现药品验收、入库、上架、分拣、养护、出库复核、运输等作业的流程管控、数据采集和过程记录。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（一）仓库储存区总面积不少于5000平方米，其中整件储存区应设有高架库或立体库，且面积不少于2000平方米，高架库高度不低于6米、立体库不低于12米；其他楼库可为框架式结构的房屋，库房净层高不低于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Pr="00691C73">
          <w:rPr>
            <w:rFonts w:hint="eastAsia"/>
          </w:rPr>
          <w:t>4米</w:t>
        </w:r>
      </w:smartTag>
      <w:r w:rsidRPr="00691C73">
        <w:rPr>
          <w:rFonts w:hint="eastAsia"/>
        </w:rPr>
        <w:t>（二楼以上不低于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米"/>
        </w:smartTagPr>
        <w:r w:rsidRPr="00691C73">
          <w:rPr>
            <w:rFonts w:hint="eastAsia"/>
          </w:rPr>
          <w:t>3.5米</w:t>
        </w:r>
      </w:smartTag>
      <w:r w:rsidRPr="00691C73">
        <w:rPr>
          <w:rFonts w:hint="eastAsia"/>
        </w:rPr>
        <w:t>），并配有专用载货电梯或其它垂直输送设备。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（二）高架库或立体库配备相匹配的叉车或高位</w:t>
      </w:r>
      <w:r w:rsidRPr="00691C73">
        <w:t>自动堆垛机</w:t>
      </w:r>
      <w:r w:rsidRPr="00691C73">
        <w:rPr>
          <w:rFonts w:hint="eastAsia"/>
        </w:rPr>
        <w:t>；配备与物流规模相适应的托盘货位，托盘货位不少于1500</w:t>
      </w:r>
      <w:r w:rsidRPr="00691C73">
        <w:rPr>
          <w:rFonts w:hint="eastAsia"/>
        </w:rPr>
        <w:lastRenderedPageBreak/>
        <w:t>个（以1.2米*1.0米标准托盘计，不同尺寸的托盘按载货面积进行折算）。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（三）零货储存区应配置搁板货架、流利货架等类型货架，零货货位不少于1500个，货位间必须有效隔离。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（四）具有能覆盖储存区域、拣选区域的，能与分拣量相匹配的药品自动输送设备，实现药品物流作业的连贯。</w:t>
      </w:r>
    </w:p>
    <w:p w:rsidR="00AE42FE" w:rsidRPr="00691C73" w:rsidRDefault="00AE42FE" w:rsidP="00656A0B">
      <w:pPr>
        <w:spacing w:line="595" w:lineRule="exact"/>
        <w:ind w:firstLineChars="225" w:firstLine="720"/>
      </w:pPr>
      <w:r w:rsidRPr="00691C73">
        <w:rPr>
          <w:rFonts w:hint="eastAsia"/>
        </w:rPr>
        <w:t>（五）</w:t>
      </w:r>
      <w:r w:rsidRPr="00691C73">
        <w:rPr>
          <w:rFonts w:hAnsi="宋体" w:hint="eastAsia"/>
        </w:rPr>
        <w:t>具备</w:t>
      </w:r>
      <w:r w:rsidRPr="00691C73">
        <w:rPr>
          <w:rFonts w:hint="eastAsia"/>
        </w:rPr>
        <w:t>有与药品储存和物流规模相适应并符合药品储存要求的常温库、阴凉库和冷库。其中具备阴凉储存条件的库房面积应达到50%以上。开展冷链药品物流业务的，应配备2个以上独立冷库，总容积不少于500立方米。如储存冷冻药品的，还需配备相应的冷冻库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六）配备与其面积相适应的温湿度调节设施。常温库、阴凉库应配置工业用中央空调及湿度调节设备，温湿度自动监测系统能每天24小时自动连续监测库区温湿度状况，能自动记录温湿度数据，温湿度出现异常情况能自动报警。</w:t>
      </w:r>
    </w:p>
    <w:p w:rsidR="00AE42FE" w:rsidRPr="00691C73" w:rsidRDefault="00AE42FE" w:rsidP="00656A0B">
      <w:pPr>
        <w:spacing w:line="595" w:lineRule="exact"/>
        <w:ind w:firstLineChars="225" w:firstLine="720"/>
      </w:pPr>
      <w:r w:rsidRPr="00691C73">
        <w:rPr>
          <w:rFonts w:hint="eastAsia"/>
        </w:rPr>
        <w:t>（七）配备与药品经营规模相适应的视频监视系统，具有对整个库区实时录像、实时监控、实时处置的功能。其中药品入库、出库、验收等场所各安装不少于2个摄像头，其他场所按每300平方米/个的标准安装摄像头，并实现视频监视对药品储存和作业区的无缝覆盖。监视设备能每天24小时自动备份，工作图像留存不少于90天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二、计算机管理系统应当与药品经营和物流规模相适应，满足《药品经营质量管理规范》及相关附录要求。具有专用的计算机和服务器中央数据处理系统，对在库药品的分类、存放</w:t>
      </w:r>
      <w:r w:rsidRPr="00691C73">
        <w:rPr>
          <w:rFonts w:hint="eastAsia"/>
        </w:rPr>
        <w:lastRenderedPageBreak/>
        <w:t>和相关信息的检索以及对药品的购进、入库验收、在库养护、销售、出库复核进行记录和管理，对质量情况进行及时准确的记录。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（一）计算机管理系统实现对药品经营、储运全覆盖，并满足药品现代物流企业的运营要求，包括：仓储管理系统(WMS)、设备管理系统（WCS）、运输调度管理系统（TMS）、物流管理系统、冷链监控系统（CCTS）等。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（二）服务器为企业自己所有，服务器机房应独立。至少配备两套互备的服务器系统，共同执行同一服务。当一套服务器出现故障时，可以由其他服务器承担服务任务，实现无人工干预提供服务。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（三）企业计算机管理系统应当有安全稳定的网络环境，固定接入互联网的方式，网络出口带宽应当与业务规模相适应。网络交换机有防入侵网关，服务器和计算机应安装防病毒软件。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三、配备</w:t>
      </w:r>
      <w:r w:rsidRPr="00691C73">
        <w:t>与药品配送规模相适应的</w:t>
      </w:r>
      <w:r w:rsidRPr="00691C73">
        <w:rPr>
          <w:rFonts w:hint="eastAsia"/>
        </w:rPr>
        <w:t>、且不少于10辆的密闭式</w:t>
      </w:r>
      <w:r w:rsidRPr="00691C73">
        <w:t>药品运输车辆</w:t>
      </w:r>
      <w:r w:rsidRPr="00691C73">
        <w:rPr>
          <w:rFonts w:hint="eastAsia"/>
        </w:rPr>
        <w:t>。经营冷链药品的还应配备2辆以上（含）的具有独立制冷系统的冷藏车，以及车载冷藏箱或保温箱等设备，并符合药品运输过程中对温度控制的要求。冷藏车具有自动调控温度、显示温度、存储和读取温度监测数据的功能；冷藏箱及保温箱具有外部显示和采集箱体内部温度数据的功能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四、</w:t>
      </w:r>
      <w:r w:rsidRPr="00691C73">
        <w:t>配备</w:t>
      </w:r>
      <w:r w:rsidRPr="00691C73">
        <w:rPr>
          <w:rFonts w:hint="eastAsia"/>
        </w:rPr>
        <w:t>双回路不间断供电保障系统或</w:t>
      </w:r>
      <w:r w:rsidRPr="00691C73">
        <w:t>备用供电设备，备用供电设备功率应当能至少保障药品仓储作业区域的照明、</w:t>
      </w:r>
      <w:r w:rsidRPr="00691C73">
        <w:rPr>
          <w:rFonts w:hint="eastAsia"/>
        </w:rPr>
        <w:t>冷库等对经营药品质量安全有影响的关键区域的</w:t>
      </w:r>
      <w:r w:rsidRPr="00691C73">
        <w:t>温湿度调控、计算机服务器数据中心及控制室（区）正常运行。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lastRenderedPageBreak/>
        <w:t>五、配备2名以上（含）具备物流相关专业大学专科以上学历的物流管理人员。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六、制定符合药品现代物流管理要求，能够保证药品质量的管理体系文件，包括质量管理制度、职责、操作规程和相关记录等。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t>七</w:t>
      </w:r>
      <w:r w:rsidRPr="00691C73">
        <w:rPr>
          <w:rFonts w:hint="eastAsia"/>
        </w:rPr>
        <w:t>、自2021年*月*日起，我省新开办药品批发企业必须符合以上条件。新开办药品批发企业的检查验收标准为以上条件和《药品经营质量管理规范》，原《江西省核发</w:t>
      </w:r>
      <w:r w:rsidRPr="00691C73">
        <w:rPr>
          <w:rFonts w:hAnsi="华文仿宋" w:cs="Times New Roman" w:hint="eastAsia"/>
        </w:rPr>
        <w:t>〈药品经营许可证〉（批发）验收标准细则（暂行）</w:t>
      </w:r>
      <w:r w:rsidRPr="00691C73">
        <w:rPr>
          <w:rFonts w:hint="eastAsia"/>
        </w:rPr>
        <w:t>》</w:t>
      </w:r>
      <w:r w:rsidRPr="00691C73">
        <w:rPr>
          <w:rFonts w:hAnsi="宋体" w:hint="eastAsia"/>
        </w:rPr>
        <w:t>自本</w:t>
      </w:r>
      <w:r w:rsidRPr="00691C73">
        <w:rPr>
          <w:rFonts w:hint="eastAsia"/>
        </w:rPr>
        <w:t>通知施行</w:t>
      </w:r>
      <w:r w:rsidRPr="00691C73">
        <w:rPr>
          <w:rFonts w:hAnsi="宋体" w:hint="eastAsia"/>
        </w:rPr>
        <w:t>之日起同时废止</w:t>
      </w:r>
      <w:r w:rsidRPr="00691C73">
        <w:rPr>
          <w:rFonts w:hint="eastAsia"/>
        </w:rPr>
        <w:t>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八、2021年*月*日起，已经换发《药品经营许可证》的药品批发企业应在5年内达到本通知明确的标准。对不能达到本通知明确的标准的，将按照我局委托储存的相关规定办理委托储存。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九、国家药品监督管理局对此有新规定的，从其规定。</w:t>
      </w:r>
    </w:p>
    <w:p w:rsidR="00AE42FE" w:rsidRPr="00691C73" w:rsidRDefault="00AE42FE" w:rsidP="00656A0B">
      <w:pPr>
        <w:spacing w:line="595" w:lineRule="exact"/>
        <w:ind w:firstLineChars="200" w:firstLine="640"/>
      </w:pPr>
      <w:r w:rsidRPr="00691C73">
        <w:rPr>
          <w:rFonts w:hint="eastAsia"/>
        </w:rPr>
        <w:t>特此通知。</w:t>
      </w:r>
    </w:p>
    <w:p w:rsidR="00AE42FE" w:rsidRDefault="00AE42FE" w:rsidP="00656A0B">
      <w:pPr>
        <w:spacing w:line="595" w:lineRule="exact"/>
        <w:ind w:firstLineChars="200" w:firstLine="640"/>
        <w:rPr>
          <w:rFonts w:hint="eastAsia"/>
        </w:rPr>
      </w:pPr>
    </w:p>
    <w:p w:rsidR="00B06023" w:rsidRPr="00691C73" w:rsidRDefault="00B06023" w:rsidP="00656A0B">
      <w:pPr>
        <w:spacing w:line="595" w:lineRule="exact"/>
        <w:ind w:firstLineChars="200" w:firstLine="640"/>
      </w:pPr>
    </w:p>
    <w:p w:rsidR="00AE42FE" w:rsidRPr="00691C73" w:rsidRDefault="00AE42FE" w:rsidP="00656A0B">
      <w:pPr>
        <w:spacing w:line="595" w:lineRule="exact"/>
        <w:ind w:firstLineChars="200" w:firstLine="640"/>
        <w:jc w:val="right"/>
      </w:pPr>
      <w:r w:rsidRPr="00691C73">
        <w:rPr>
          <w:rFonts w:hint="eastAsia"/>
        </w:rPr>
        <w:t xml:space="preserve">江西省药品监督管理局　　</w:t>
      </w:r>
    </w:p>
    <w:p w:rsidR="00AE42FE" w:rsidRPr="00691C73" w:rsidRDefault="00AE42FE" w:rsidP="00656A0B">
      <w:pPr>
        <w:spacing w:line="595" w:lineRule="exact"/>
        <w:ind w:firstLineChars="200" w:firstLine="640"/>
        <w:jc w:val="right"/>
      </w:pPr>
      <w:r w:rsidRPr="00691C73">
        <w:rPr>
          <w:rFonts w:hint="eastAsia"/>
        </w:rPr>
        <w:t>2021年　月　日</w:t>
      </w:r>
      <w:r w:rsidR="00B06023">
        <w:rPr>
          <w:rFonts w:hint="eastAsia"/>
        </w:rPr>
        <w:t xml:space="preserve">　</w:t>
      </w:r>
    </w:p>
    <w:p w:rsidR="00E45950" w:rsidRPr="00691C73" w:rsidRDefault="00AE42FE" w:rsidP="00656A0B">
      <w:pPr>
        <w:spacing w:line="595" w:lineRule="exact"/>
        <w:ind w:firstLineChars="200" w:firstLine="640"/>
        <w:jc w:val="left"/>
      </w:pPr>
      <w:r w:rsidRPr="00691C73">
        <w:rPr>
          <w:rFonts w:hint="eastAsia"/>
        </w:rPr>
        <w:t>（公开属性：主动公开）</w:t>
      </w:r>
    </w:p>
    <w:sectPr w:rsidR="00E45950" w:rsidRPr="00691C73" w:rsidSect="00CB1194">
      <w:pgSz w:w="11906" w:h="16838" w:code="9"/>
      <w:pgMar w:top="1304" w:right="1588" w:bottom="1247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76" w:rsidRDefault="001E3176" w:rsidP="00691C73">
      <w:r>
        <w:separator/>
      </w:r>
    </w:p>
  </w:endnote>
  <w:endnote w:type="continuationSeparator" w:id="1">
    <w:p w:rsidR="001E3176" w:rsidRDefault="001E3176" w:rsidP="0069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76" w:rsidRDefault="001E3176" w:rsidP="00691C73">
      <w:r>
        <w:separator/>
      </w:r>
    </w:p>
  </w:footnote>
  <w:footnote w:type="continuationSeparator" w:id="1">
    <w:p w:rsidR="001E3176" w:rsidRDefault="001E3176" w:rsidP="0069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2FE"/>
    <w:rsid w:val="00107469"/>
    <w:rsid w:val="001D6938"/>
    <w:rsid w:val="001E3176"/>
    <w:rsid w:val="002F1360"/>
    <w:rsid w:val="004C6CAC"/>
    <w:rsid w:val="00635505"/>
    <w:rsid w:val="00656A0B"/>
    <w:rsid w:val="00691C73"/>
    <w:rsid w:val="00826C36"/>
    <w:rsid w:val="009B3E10"/>
    <w:rsid w:val="00A473A1"/>
    <w:rsid w:val="00AB479F"/>
    <w:rsid w:val="00AE42FE"/>
    <w:rsid w:val="00B06023"/>
    <w:rsid w:val="00CB1194"/>
    <w:rsid w:val="00D16A1F"/>
    <w:rsid w:val="00D84486"/>
    <w:rsid w:val="00DC7E64"/>
    <w:rsid w:val="00E45950"/>
    <w:rsid w:val="00EF3AF9"/>
    <w:rsid w:val="00F6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310</Words>
  <Characters>1771</Characters>
  <Application>Microsoft Office Word</Application>
  <DocSecurity>0</DocSecurity>
  <Lines>14</Lines>
  <Paragraphs>4</Paragraphs>
  <ScaleCrop>false</ScaleCrop>
  <Company>HP Inc.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曾春华</dc:creator>
  <cp:lastModifiedBy>曾春华</cp:lastModifiedBy>
  <cp:revision>10</cp:revision>
  <cp:lastPrinted>2021-01-11T01:08:00Z</cp:lastPrinted>
  <dcterms:created xsi:type="dcterms:W3CDTF">2021-01-06T07:21:00Z</dcterms:created>
  <dcterms:modified xsi:type="dcterms:W3CDTF">2021-01-11T02:18:00Z</dcterms:modified>
</cp:coreProperties>
</file>