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
          <w:sz w:val="32"/>
          <w:szCs w:val="32"/>
        </w:rPr>
      </w:pPr>
      <w:r>
        <w:rPr>
          <w:rFonts w:hint="eastAsia" w:ascii="黑体" w:hAnsi="黑体" w:eastAsia="黑体" w:cs="仿宋"/>
          <w:sz w:val="32"/>
          <w:szCs w:val="32"/>
        </w:rPr>
        <w:t>附件2</w:t>
      </w:r>
    </w:p>
    <w:p>
      <w:pPr>
        <w:jc w:val="center"/>
        <w:rPr>
          <w:rFonts w:hint="eastAsia" w:ascii="方正小标宋简体" w:eastAsia="方正小标宋简体"/>
          <w:sz w:val="36"/>
          <w:szCs w:val="36"/>
        </w:rPr>
      </w:pPr>
      <w:bookmarkStart w:id="0" w:name="_GoBack"/>
      <w:r>
        <w:rPr>
          <w:rFonts w:hint="eastAsia" w:ascii="方正小标宋简体" w:hAnsi="宋体" w:eastAsia="方正小标宋简体"/>
          <w:bCs/>
          <w:sz w:val="36"/>
          <w:szCs w:val="36"/>
        </w:rPr>
        <w:t>内蒙古自治区区域点数法总额预算和按病种分值付费工作台账</w:t>
      </w:r>
    </w:p>
    <w:bookmarkEnd w:id="0"/>
    <w:p/>
    <w:tbl>
      <w:tblPr>
        <w:tblStyle w:val="8"/>
        <w:tblW w:w="1447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15"/>
        <w:gridCol w:w="7620"/>
        <w:gridCol w:w="256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05"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序号</w:t>
            </w:r>
          </w:p>
        </w:tc>
        <w:tc>
          <w:tcPr>
            <w:tcW w:w="1815"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项目</w:t>
            </w:r>
          </w:p>
        </w:tc>
        <w:tc>
          <w:tcPr>
            <w:tcW w:w="7620"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目标要求</w:t>
            </w:r>
          </w:p>
        </w:tc>
        <w:tc>
          <w:tcPr>
            <w:tcW w:w="2565"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责任单位</w:t>
            </w:r>
          </w:p>
        </w:tc>
        <w:tc>
          <w:tcPr>
            <w:tcW w:w="1770"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5" w:type="dxa"/>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c>
          <w:tcPr>
            <w:tcW w:w="1815" w:type="dxa"/>
            <w:vMerge w:val="restart"/>
            <w:vAlign w:val="center"/>
          </w:tcPr>
          <w:p>
            <w:pPr>
              <w:spacing w:line="360" w:lineRule="exact"/>
              <w:rPr>
                <w:rFonts w:ascii="仿宋" w:hAnsi="仿宋" w:eastAsia="仿宋" w:cs="仿宋"/>
                <w:sz w:val="24"/>
              </w:rPr>
            </w:pPr>
            <w:r>
              <w:rPr>
                <w:rFonts w:hint="eastAsia" w:ascii="仿宋" w:hAnsi="仿宋" w:eastAsia="仿宋" w:cs="仿宋"/>
                <w:sz w:val="24"/>
              </w:rPr>
              <w:t>加强组织领导</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制定自治区工作方案，成立管理委员会。</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自治区医疗保障局、财政厅、卫生健康委</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05" w:type="dxa"/>
            <w:vMerge w:val="continue"/>
            <w:vAlign w:val="center"/>
          </w:tcPr>
          <w:p>
            <w:pPr>
              <w:spacing w:line="360" w:lineRule="exact"/>
              <w:jc w:val="center"/>
              <w:rPr>
                <w:rFonts w:ascii="仿宋" w:hAnsi="仿宋" w:eastAsia="仿宋" w:cs="仿宋"/>
                <w:sz w:val="24"/>
              </w:rPr>
            </w:pPr>
          </w:p>
        </w:tc>
        <w:tc>
          <w:tcPr>
            <w:tcW w:w="1815" w:type="dxa"/>
            <w:vMerge w:val="continue"/>
            <w:vAlign w:val="center"/>
          </w:tcPr>
          <w:p>
            <w:pPr>
              <w:spacing w:line="360" w:lineRule="exact"/>
              <w:rPr>
                <w:rFonts w:ascii="仿宋" w:hAnsi="仿宋" w:eastAsia="仿宋" w:cs="仿宋"/>
                <w:sz w:val="24"/>
              </w:rPr>
            </w:pP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制定统筹地区工作方案，成立地区管理委员会。</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统筹地区医疗保障局、财政局、卫生健康委</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开展技术培训</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开展动员、培训，指导各部门、各医院工作人员掌握病种组合、分值付费的基本原理和方法。组织相关人员赴先进地区调研学习、实地培训。</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各级医疗保障局、卫生健康委</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建立病种库</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委托科研机构分析历史数据，形成自治区统一的病种目录库。</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自治区医疗保障局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05" w:type="dxa"/>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c>
          <w:tcPr>
            <w:tcW w:w="1815" w:type="dxa"/>
            <w:vMerge w:val="restart"/>
            <w:vAlign w:val="center"/>
          </w:tcPr>
          <w:p>
            <w:pPr>
              <w:spacing w:line="360" w:lineRule="exact"/>
              <w:rPr>
                <w:rFonts w:ascii="仿宋" w:hAnsi="仿宋" w:eastAsia="仿宋" w:cs="仿宋"/>
                <w:sz w:val="24"/>
              </w:rPr>
            </w:pPr>
            <w:r>
              <w:rPr>
                <w:rFonts w:hint="eastAsia" w:ascii="仿宋" w:hAnsi="仿宋" w:eastAsia="仿宋" w:cs="仿宋"/>
                <w:sz w:val="24"/>
              </w:rPr>
              <w:t>制定结算办法</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制定全区统一的区域点数法总额预算和按病种分值付费结算办法。</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自治区医疗保障局、财政厅</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05" w:type="dxa"/>
            <w:vMerge w:val="continue"/>
            <w:vAlign w:val="center"/>
          </w:tcPr>
          <w:p>
            <w:pPr>
              <w:spacing w:line="360" w:lineRule="exact"/>
              <w:jc w:val="center"/>
              <w:rPr>
                <w:rFonts w:ascii="仿宋" w:hAnsi="仿宋" w:eastAsia="仿宋" w:cs="仿宋"/>
                <w:sz w:val="24"/>
              </w:rPr>
            </w:pPr>
          </w:p>
        </w:tc>
        <w:tc>
          <w:tcPr>
            <w:tcW w:w="1815" w:type="dxa"/>
            <w:vMerge w:val="continue"/>
            <w:vAlign w:val="center"/>
          </w:tcPr>
          <w:p>
            <w:pPr>
              <w:spacing w:line="360" w:lineRule="exact"/>
              <w:rPr>
                <w:rFonts w:ascii="仿宋" w:hAnsi="仿宋" w:eastAsia="仿宋" w:cs="仿宋"/>
                <w:sz w:val="24"/>
              </w:rPr>
            </w:pP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统筹地区完善相应的医保经办规程和协议管理流程。</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05" w:type="dxa"/>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c>
          <w:tcPr>
            <w:tcW w:w="1815" w:type="dxa"/>
            <w:vMerge w:val="restart"/>
            <w:vAlign w:val="center"/>
          </w:tcPr>
          <w:p>
            <w:pPr>
              <w:spacing w:line="360" w:lineRule="exact"/>
              <w:rPr>
                <w:rFonts w:ascii="仿宋" w:hAnsi="仿宋" w:eastAsia="仿宋" w:cs="仿宋"/>
                <w:sz w:val="24"/>
              </w:rPr>
            </w:pPr>
            <w:r>
              <w:rPr>
                <w:rFonts w:hint="eastAsia" w:ascii="仿宋" w:hAnsi="仿宋" w:eastAsia="仿宋" w:cs="仿宋"/>
                <w:sz w:val="24"/>
              </w:rPr>
              <w:t>强化协议管理</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制定全区统一的区域点数法总额预算和按病种分值付费协议文本。</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自治区医疗保障局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5" w:type="dxa"/>
            <w:vMerge w:val="continue"/>
            <w:vAlign w:val="center"/>
          </w:tcPr>
          <w:p>
            <w:pPr>
              <w:spacing w:line="360" w:lineRule="exact"/>
              <w:jc w:val="center"/>
              <w:rPr>
                <w:rFonts w:ascii="仿宋" w:hAnsi="仿宋" w:eastAsia="仿宋" w:cs="仿宋"/>
                <w:sz w:val="24"/>
              </w:rPr>
            </w:pPr>
          </w:p>
        </w:tc>
        <w:tc>
          <w:tcPr>
            <w:tcW w:w="1815" w:type="dxa"/>
            <w:vMerge w:val="continue"/>
            <w:vAlign w:val="center"/>
          </w:tcPr>
          <w:p>
            <w:pPr>
              <w:spacing w:line="360" w:lineRule="exact"/>
              <w:rPr>
                <w:rFonts w:ascii="仿宋" w:hAnsi="仿宋" w:eastAsia="仿宋" w:cs="仿宋"/>
                <w:sz w:val="24"/>
              </w:rPr>
            </w:pP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统筹地区结合实际细化本地协议。</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6</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加强病案管理</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规范病案首页，统一使用医保疾病诊断和手术操作、医疗服务项目、药品、医用耗材等信息业务编码标准。</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各级医疗保障局、卫生健康委</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2021年3月底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7</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完成系统改造</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统筹地区完成与医疗机构的信息接口改造，能够实时采集所需数据。</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各级医疗保障局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2021年3月底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05"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序号</w:t>
            </w:r>
          </w:p>
        </w:tc>
        <w:tc>
          <w:tcPr>
            <w:tcW w:w="1815"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项目</w:t>
            </w:r>
          </w:p>
        </w:tc>
        <w:tc>
          <w:tcPr>
            <w:tcW w:w="7620"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目标要求</w:t>
            </w:r>
          </w:p>
        </w:tc>
        <w:tc>
          <w:tcPr>
            <w:tcW w:w="2565"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责任单位</w:t>
            </w:r>
          </w:p>
        </w:tc>
        <w:tc>
          <w:tcPr>
            <w:tcW w:w="1770"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8</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实施总额预算</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确定医保总额预算指标。</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9</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试点数据报送</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国家试点城市报送历史数据，由国家医保局统一组织使用试点城市数据形成本地化的病种分组。</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试点城市医疗保障局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2020年11月底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10</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试点预分组</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试点城市使用实时数据和本地化的分组方案实行预分组。</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试点城市医疗保障局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11</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试点确定病种分值</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按照地区前3年数据进行全样本数据病例平均医疗费用测算，确定核心病种的分值。</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试点城市医疗保障局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12</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非试点数据报送</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非试点统筹地区向自治区医疗保障局报送历史数据。</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非试点地区医疗保障局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13</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非试点预分组</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非试点统筹地区使用实时数据和本地化的分组方案实行预分组。</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非试点地区医疗保障局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14</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非试点确定病种分值</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按照地区前3年数据进行全样本数据病例平均医疗费用测算，确定核心病种的分值。</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非试点地区医疗保障局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15</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试点实际付费</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根据各统筹地区技术准备和配套政策制订情况，具备条件的地区备案后可以启动实际付费。</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16</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实际付费</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全部统筹地区进入实际付费阶段。</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2021年12月底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17</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定期报告</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定期上报地方病种组合目录动态维护和分值付费标准测算等基础准备工作进展，以及具体的组织实施情况、开展效果等。</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统筹地区医疗保障局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每月5日前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360" w:lineRule="exact"/>
              <w:jc w:val="center"/>
              <w:rPr>
                <w:rFonts w:ascii="仿宋" w:hAnsi="仿宋" w:eastAsia="仿宋" w:cs="仿宋"/>
                <w:sz w:val="24"/>
              </w:rPr>
            </w:pPr>
            <w:r>
              <w:rPr>
                <w:rFonts w:hint="eastAsia" w:ascii="仿宋" w:hAnsi="仿宋" w:eastAsia="仿宋" w:cs="仿宋"/>
                <w:sz w:val="24"/>
              </w:rPr>
              <w:t>18</w:t>
            </w:r>
          </w:p>
        </w:tc>
        <w:tc>
          <w:tcPr>
            <w:tcW w:w="1815" w:type="dxa"/>
            <w:vAlign w:val="center"/>
          </w:tcPr>
          <w:p>
            <w:pPr>
              <w:spacing w:line="360" w:lineRule="exact"/>
              <w:rPr>
                <w:rFonts w:ascii="仿宋" w:hAnsi="仿宋" w:eastAsia="仿宋" w:cs="仿宋"/>
                <w:sz w:val="24"/>
              </w:rPr>
            </w:pPr>
            <w:r>
              <w:rPr>
                <w:rFonts w:hint="eastAsia" w:ascii="仿宋" w:hAnsi="仿宋" w:eastAsia="仿宋" w:cs="仿宋"/>
                <w:sz w:val="24"/>
              </w:rPr>
              <w:t>监测评估</w:t>
            </w:r>
          </w:p>
        </w:tc>
        <w:tc>
          <w:tcPr>
            <w:tcW w:w="7620" w:type="dxa"/>
            <w:vAlign w:val="center"/>
          </w:tcPr>
          <w:p>
            <w:pPr>
              <w:spacing w:line="360" w:lineRule="exact"/>
              <w:rPr>
                <w:rFonts w:ascii="仿宋" w:hAnsi="仿宋" w:eastAsia="仿宋" w:cs="仿宋"/>
                <w:sz w:val="24"/>
              </w:rPr>
            </w:pPr>
            <w:r>
              <w:rPr>
                <w:rFonts w:hint="eastAsia" w:ascii="仿宋" w:hAnsi="仿宋" w:eastAsia="仿宋" w:cs="仿宋"/>
                <w:sz w:val="24"/>
              </w:rPr>
              <w:t>组织专家开展跟踪评价，对各地按病种分值付费工作进展、医保基金运行情况进行监测，对医保精细化管理能力和服务水平提升、医疗机构运行机制转变、参保人受益等付费实施效果进行阶段评估。</w:t>
            </w:r>
          </w:p>
        </w:tc>
        <w:tc>
          <w:tcPr>
            <w:tcW w:w="2565" w:type="dxa"/>
            <w:vAlign w:val="center"/>
          </w:tcPr>
          <w:p>
            <w:pPr>
              <w:spacing w:line="360" w:lineRule="exact"/>
              <w:rPr>
                <w:rFonts w:ascii="仿宋" w:hAnsi="仿宋" w:eastAsia="仿宋" w:cs="仿宋"/>
                <w:sz w:val="24"/>
              </w:rPr>
            </w:pPr>
            <w:r>
              <w:rPr>
                <w:rFonts w:hint="eastAsia" w:ascii="仿宋" w:hAnsi="仿宋" w:eastAsia="仿宋" w:cs="仿宋"/>
                <w:sz w:val="24"/>
              </w:rPr>
              <w:t>自治区医疗保障局</w:t>
            </w:r>
          </w:p>
        </w:tc>
        <w:tc>
          <w:tcPr>
            <w:tcW w:w="1770" w:type="dxa"/>
            <w:vAlign w:val="center"/>
          </w:tcPr>
          <w:p>
            <w:pPr>
              <w:spacing w:line="360" w:lineRule="exact"/>
              <w:rPr>
                <w:rFonts w:ascii="仿宋" w:hAnsi="仿宋" w:eastAsia="仿宋" w:cs="仿宋"/>
                <w:sz w:val="24"/>
              </w:rPr>
            </w:pPr>
            <w:r>
              <w:rPr>
                <w:rFonts w:hint="eastAsia" w:ascii="仿宋" w:hAnsi="仿宋" w:eastAsia="仿宋" w:cs="仿宋"/>
                <w:sz w:val="24"/>
              </w:rPr>
              <w:t>每季度、每年度</w:t>
            </w:r>
          </w:p>
        </w:tc>
      </w:tr>
    </w:tbl>
    <w:p>
      <w:pPr>
        <w:rPr>
          <w:rFonts w:hint="eastAsia" w:ascii="仿宋" w:hAnsi="仿宋" w:eastAsia="仿宋"/>
          <w:sz w:val="32"/>
          <w:szCs w:val="32"/>
        </w:rPr>
      </w:pPr>
    </w:p>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9"/>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1"/>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2">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7"/>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3">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8"/>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3"/>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93EB0"/>
    <w:multiLevelType w:val="multilevel"/>
    <w:tmpl w:val="5DC93EB0"/>
    <w:lvl w:ilvl="0" w:tentative="0">
      <w:start w:val="1"/>
      <w:numFmt w:val="decimal"/>
      <w:pStyle w:val="12"/>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6">
    <w:nsid w:val="5DE63361"/>
    <w:multiLevelType w:val="multilevel"/>
    <w:tmpl w:val="5DE63361"/>
    <w:lvl w:ilvl="0" w:tentative="0">
      <w:start w:val="1"/>
      <w:numFmt w:val="decimal"/>
      <w:pStyle w:val="15"/>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4"/>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0"/>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0">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5"/>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6"/>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DE70799"/>
    <w:multiLevelType w:val="multilevel"/>
    <w:tmpl w:val="5DE70799"/>
    <w:lvl w:ilvl="0" w:tentative="0">
      <w:start w:val="1"/>
      <w:numFmt w:val="chineseCounting"/>
      <w:pStyle w:val="27"/>
      <w:suff w:val="space"/>
      <w:lvlText w:val="%1"/>
      <w:lvlJc w:val="left"/>
      <w:pPr>
        <w:tabs>
          <w:tab w:val="left" w:pos="0"/>
        </w:tabs>
        <w:ind w:left="284" w:firstLine="0"/>
      </w:pPr>
      <w:rPr>
        <w:rFonts w:hint="eastAsia" w:ascii="宋体" w:hAnsi="宋体" w:eastAsia="宋体" w:cs="宋体"/>
      </w:rPr>
    </w:lvl>
    <w:lvl w:ilvl="1" w:tentative="0">
      <w:start w:val="1"/>
      <w:numFmt w:val="decimal"/>
      <w:pStyle w:val="29"/>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28"/>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1"/>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0"/>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2"/>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1"/>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4122"/>
    <w:multiLevelType w:val="multilevel"/>
    <w:tmpl w:val="5DE74122"/>
    <w:lvl w:ilvl="0" w:tentative="0">
      <w:start w:val="1"/>
      <w:numFmt w:val="decimal"/>
      <w:pStyle w:val="23"/>
      <w:suff w:val="space"/>
      <w:lvlText w:val="%1."/>
      <w:lvlJc w:val="left"/>
      <w:pPr>
        <w:tabs>
          <w:tab w:val="left" w:pos="0"/>
        </w:tabs>
        <w:ind w:left="284" w:firstLine="0"/>
      </w:pPr>
      <w:rPr>
        <w:rFonts w:hint="default" w:ascii="宋体" w:hAnsi="宋体" w:eastAsia="宋体" w:cs="宋体"/>
      </w:rPr>
    </w:lvl>
    <w:lvl w:ilvl="1" w:tentative="0">
      <w:start w:val="1"/>
      <w:numFmt w:val="decimal"/>
      <w:pStyle w:val="34"/>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5"/>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2"/>
  </w:num>
  <w:num w:numId="10">
    <w:abstractNumId w:val="3"/>
  </w:num>
  <w:num w:numId="11">
    <w:abstractNumId w:val="7"/>
  </w:num>
  <w:num w:numId="12">
    <w:abstractNumId w:val="14"/>
  </w:num>
  <w:num w:numId="13">
    <w:abstractNumId w:val="15"/>
  </w:num>
  <w:num w:numId="14">
    <w:abstractNumId w:val="18"/>
  </w:num>
  <w:num w:numId="15">
    <w:abstractNumId w:val="11"/>
  </w:num>
  <w:num w:numId="16">
    <w:abstractNumId w:val="12"/>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E64B6"/>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6691417"/>
    <w:rsid w:val="27C272F9"/>
    <w:rsid w:val="291340E3"/>
    <w:rsid w:val="2966572E"/>
    <w:rsid w:val="2B362502"/>
    <w:rsid w:val="2D6178F5"/>
    <w:rsid w:val="2D9E142D"/>
    <w:rsid w:val="2E4F2682"/>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7FE64B6"/>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8FB4711"/>
    <w:rsid w:val="6AC25E46"/>
    <w:rsid w:val="6C886506"/>
    <w:rsid w:val="6D253274"/>
    <w:rsid w:val="6D77157D"/>
    <w:rsid w:val="6D7B76C7"/>
    <w:rsid w:val="6E9709C1"/>
    <w:rsid w:val="6F4C092C"/>
    <w:rsid w:val="7038185B"/>
    <w:rsid w:val="72775DAD"/>
    <w:rsid w:val="72AD4576"/>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4"/>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7">
    <w:name w:val="Default Paragraph Font"/>
    <w:semiHidden/>
    <w:qFormat/>
    <w:uiPriority w:val="0"/>
    <w:rPr>
      <w:rFonts w:ascii="Times New Roman" w:hAnsi="Times New Roman" w:eastAsia="宋体"/>
      <w:b/>
      <w:sz w:val="21"/>
      <w:szCs w:val="2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3">
    <w:name w:val="2级编号"/>
    <w:basedOn w:val="1"/>
    <w:next w:val="2"/>
    <w:qFormat/>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customStyle="1" w:styleId="9">
    <w:name w:val="测试3级目录"/>
    <w:basedOn w:val="1"/>
    <w:qFormat/>
    <w:uiPriority w:val="0"/>
    <w:pPr>
      <w:numPr>
        <w:ilvl w:val="3"/>
        <w:numId w:val="4"/>
      </w:numPr>
      <w:outlineLvl w:val="2"/>
    </w:pPr>
    <w:rPr>
      <w:rFonts w:ascii="Times New Roman" w:hAnsi="Times New Roman" w:eastAsia="宋体" w:cs="Times New Roman"/>
      <w:b/>
      <w:sz w:val="28"/>
    </w:rPr>
  </w:style>
  <w:style w:type="paragraph" w:customStyle="1" w:styleId="10">
    <w:name w:val="一览表"/>
    <w:basedOn w:val="1"/>
    <w:qFormat/>
    <w:uiPriority w:val="0"/>
    <w:pPr>
      <w:ind w:left="992" w:hanging="992"/>
      <w:jc w:val="center"/>
    </w:pPr>
    <w:rPr>
      <w:rFonts w:ascii="Times New Roman" w:hAnsi="Times New Roman" w:eastAsia="宋体" w:cs="Times New Roman"/>
      <w:b/>
    </w:rPr>
  </w:style>
  <w:style w:type="paragraph" w:customStyle="1" w:styleId="11">
    <w:name w:val="测试报告一览表"/>
    <w:basedOn w:val="1"/>
    <w:qFormat/>
    <w:uiPriority w:val="0"/>
    <w:pPr>
      <w:numPr>
        <w:ilvl w:val="2"/>
        <w:numId w:val="5"/>
      </w:numPr>
      <w:ind w:left="709" w:hanging="709"/>
    </w:pPr>
    <w:rPr>
      <w:b/>
      <w:sz w:val="28"/>
    </w:rPr>
  </w:style>
  <w:style w:type="paragraph" w:customStyle="1" w:styleId="12">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3">
    <w:name w:val="3.1.1"/>
    <w:basedOn w:val="1"/>
    <w:qFormat/>
    <w:uiPriority w:val="0"/>
    <w:pPr>
      <w:numPr>
        <w:ilvl w:val="2"/>
        <w:numId w:val="7"/>
      </w:numPr>
      <w:ind w:left="709" w:hanging="709"/>
      <w:outlineLvl w:val="2"/>
    </w:pPr>
    <w:rPr>
      <w:rFonts w:ascii="Times New Roman" w:hAnsi="Times New Roman" w:eastAsia="宋体" w:cs="Times New Roman"/>
      <w:b/>
      <w:sz w:val="28"/>
    </w:rPr>
  </w:style>
  <w:style w:type="paragraph" w:customStyle="1" w:styleId="14">
    <w:name w:val="监测报告2.3.1"/>
    <w:basedOn w:val="1"/>
    <w:link w:val="16"/>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5">
    <w:name w:val="无间隔4"/>
    <w:basedOn w:val="1"/>
    <w:qFormat/>
    <w:uiPriority w:val="0"/>
    <w:pPr>
      <w:numPr>
        <w:ilvl w:val="0"/>
        <w:numId w:val="8"/>
      </w:numPr>
      <w:ind w:left="425" w:hanging="425"/>
    </w:pPr>
    <w:rPr>
      <w:b/>
      <w:sz w:val="28"/>
    </w:rPr>
  </w:style>
  <w:style w:type="character" w:customStyle="1" w:styleId="16">
    <w:name w:val="监测报告2.3.1 Char"/>
    <w:link w:val="14"/>
    <w:qFormat/>
    <w:uiPriority w:val="0"/>
    <w:rPr>
      <w:rFonts w:ascii="Calibri" w:hAnsi="Calibri" w:eastAsia="宋体"/>
      <w:color w:val="auto"/>
      <w:kern w:val="1"/>
      <w:sz w:val="24"/>
      <w:szCs w:val="22"/>
    </w:rPr>
  </w:style>
  <w:style w:type="paragraph" w:customStyle="1" w:styleId="17">
    <w:name w:val="样式1"/>
    <w:basedOn w:val="14"/>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18">
    <w:name w:val="样式2"/>
    <w:basedOn w:val="14"/>
    <w:link w:val="19"/>
    <w:qFormat/>
    <w:uiPriority w:val="0"/>
    <w:pPr>
      <w:numPr>
        <w:numId w:val="10"/>
      </w:numPr>
    </w:pPr>
    <w:rPr>
      <w:rFonts w:ascii="Arial" w:hAnsi="Arial"/>
    </w:rPr>
  </w:style>
  <w:style w:type="character" w:customStyle="1" w:styleId="19">
    <w:name w:val="样式2 Char"/>
    <w:link w:val="18"/>
    <w:qFormat/>
    <w:uiPriority w:val="0"/>
    <w:rPr>
      <w:rFonts w:ascii="Arial" w:hAnsi="Arial" w:eastAsia="宋体"/>
    </w:rPr>
  </w:style>
  <w:style w:type="paragraph" w:customStyle="1" w:styleId="20">
    <w:name w:val="3级"/>
    <w:basedOn w:val="4"/>
    <w:qFormat/>
    <w:uiPriority w:val="0"/>
    <w:pPr>
      <w:numPr>
        <w:ilvl w:val="2"/>
        <w:numId w:val="11"/>
      </w:numPr>
    </w:pPr>
    <w:rPr>
      <w:rFonts w:ascii="宋体" w:hAnsi="宋体" w:eastAsia="宋体" w:cs="宋体"/>
      <w:bCs/>
      <w:kern w:val="1"/>
      <w:sz w:val="28"/>
      <w:szCs w:val="44"/>
    </w:rPr>
  </w:style>
  <w:style w:type="paragraph" w:customStyle="1" w:styleId="21">
    <w:name w:val="2级"/>
    <w:basedOn w:val="1"/>
    <w:qFormat/>
    <w:uiPriority w:val="0"/>
    <w:pPr>
      <w:numPr>
        <w:ilvl w:val="1"/>
        <w:numId w:val="12"/>
      </w:numPr>
    </w:pPr>
    <w:rPr>
      <w:b/>
      <w:sz w:val="28"/>
    </w:rPr>
  </w:style>
  <w:style w:type="paragraph" w:customStyle="1" w:styleId="22">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3">
    <w:name w:val="一级标题"/>
    <w:basedOn w:val="1"/>
    <w:link w:val="33"/>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4">
    <w:name w:val="标题 1 Char"/>
    <w:link w:val="2"/>
    <w:qFormat/>
    <w:uiPriority w:val="0"/>
    <w:rPr>
      <w:rFonts w:ascii="Times New Roman" w:hAnsi="Times New Roman" w:eastAsia="宋体"/>
      <w:b/>
      <w:kern w:val="44"/>
      <w:sz w:val="36"/>
      <w:szCs w:val="44"/>
    </w:rPr>
  </w:style>
  <w:style w:type="paragraph" w:customStyle="1" w:styleId="25">
    <w:name w:val="样式3"/>
    <w:basedOn w:val="22"/>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6">
    <w:name w:val="标书一级"/>
    <w:basedOn w:val="4"/>
    <w:qFormat/>
    <w:uiPriority w:val="0"/>
    <w:pPr>
      <w:numPr>
        <w:numId w:val="16"/>
      </w:numPr>
      <w:spacing w:before="100"/>
    </w:pPr>
  </w:style>
  <w:style w:type="paragraph" w:customStyle="1" w:styleId="27">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28">
    <w:name w:val="标书三级目录"/>
    <w:basedOn w:val="1"/>
    <w:qFormat/>
    <w:uiPriority w:val="0"/>
    <w:pPr>
      <w:numPr>
        <w:ilvl w:val="2"/>
        <w:numId w:val="17"/>
      </w:numPr>
    </w:pPr>
    <w:rPr>
      <w:rFonts w:ascii="Times New Roman" w:hAnsi="Times New Roman" w:eastAsia="宋体"/>
      <w:b/>
      <w:sz w:val="21"/>
      <w:szCs w:val="22"/>
    </w:rPr>
  </w:style>
  <w:style w:type="paragraph" w:customStyle="1" w:styleId="29">
    <w:name w:val="标书二级目录"/>
    <w:basedOn w:val="1"/>
    <w:qFormat/>
    <w:uiPriority w:val="0"/>
    <w:pPr>
      <w:numPr>
        <w:ilvl w:val="1"/>
        <w:numId w:val="17"/>
      </w:numPr>
    </w:pPr>
    <w:rPr>
      <w:rFonts w:ascii="Times New Roman" w:hAnsi="Times New Roman" w:eastAsia="宋体"/>
      <w:b/>
      <w:sz w:val="21"/>
      <w:szCs w:val="22"/>
    </w:rPr>
  </w:style>
  <w:style w:type="paragraph" w:customStyle="1" w:styleId="30">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1">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2">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3">
    <w:name w:val="一级标题 Char"/>
    <w:link w:val="23"/>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4">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5">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2021-01-07T03:09:00Z</dcterms:created>
  <dc:creator>蔚慧敏</dc:creator>
  <cp:lastModifiedBy>蔚慧敏</cp:lastModifiedBy>
  <dcterms:modified xsi:type="dcterms:W3CDTF">2021-01-07T03:10:20Z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