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63" w:rsidRPr="00636163" w:rsidRDefault="00636163" w:rsidP="00636163">
      <w:pPr>
        <w:widowControl/>
        <w:shd w:val="clear" w:color="auto" w:fill="FFFFFF"/>
        <w:overflowPunct w:val="0"/>
        <w:spacing w:line="560" w:lineRule="exact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636163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附件2</w:t>
      </w:r>
    </w:p>
    <w:p w:rsidR="00636163" w:rsidRPr="00636163" w:rsidRDefault="00636163" w:rsidP="00636163">
      <w:pPr>
        <w:widowControl/>
        <w:shd w:val="clear" w:color="auto" w:fill="FFFFFF"/>
        <w:overflowPunct w:val="0"/>
        <w:spacing w:line="560" w:lineRule="exact"/>
        <w:jc w:val="center"/>
        <w:rPr>
          <w:rFonts w:ascii="方正小标宋简体" w:eastAsia="方正小标宋简体" w:hAnsi="黑体" w:cs="仿宋"/>
          <w:color w:val="333333"/>
          <w:sz w:val="44"/>
          <w:szCs w:val="44"/>
          <w:shd w:val="clear" w:color="auto" w:fill="FFFFFF"/>
        </w:rPr>
      </w:pPr>
      <w:r w:rsidRPr="00636163">
        <w:rPr>
          <w:rFonts w:ascii="方正小标宋简体" w:eastAsia="方正小标宋简体" w:hAnsi="黑体" w:cs="仿宋" w:hint="eastAsia"/>
          <w:color w:val="333333"/>
          <w:sz w:val="44"/>
          <w:szCs w:val="44"/>
          <w:shd w:val="clear" w:color="auto" w:fill="FFFFFF"/>
        </w:rPr>
        <w:t>药品信息化追溯体系建设实施情况统计表</w:t>
      </w:r>
    </w:p>
    <w:p w:rsidR="00636163" w:rsidRPr="00636163" w:rsidRDefault="00636163" w:rsidP="00636163">
      <w:pPr>
        <w:widowControl/>
        <w:shd w:val="clear" w:color="auto" w:fill="FFFFFF"/>
        <w:overflowPunct w:val="0"/>
        <w:spacing w:line="560" w:lineRule="exact"/>
        <w:rPr>
          <w:rFonts w:ascii="黑体" w:eastAsia="黑体" w:hAnsi="黑体" w:cs="仿宋"/>
          <w:color w:val="333333"/>
          <w:sz w:val="32"/>
          <w:szCs w:val="32"/>
          <w:shd w:val="clear" w:color="auto" w:fill="FFFFFF"/>
        </w:rPr>
      </w:pPr>
      <w:r w:rsidRPr="00636163">
        <w:rPr>
          <w:rFonts w:ascii="仿宋_GB2312" w:eastAsia="仿宋_GB2312" w:hAnsi="黑体" w:cs="仿宋" w:hint="eastAsia"/>
          <w:color w:val="333333"/>
          <w:sz w:val="32"/>
          <w:szCs w:val="32"/>
          <w:shd w:val="clear" w:color="auto" w:fill="FFFFFF"/>
        </w:rPr>
        <w:t>生产企业名称：  （盖章）                                    填表时间：   年   月   日</w:t>
      </w:r>
    </w:p>
    <w:tbl>
      <w:tblPr>
        <w:tblStyle w:val="1"/>
        <w:tblW w:w="0" w:type="auto"/>
        <w:jc w:val="center"/>
        <w:tblLook w:val="04A0"/>
      </w:tblPr>
      <w:tblGrid>
        <w:gridCol w:w="1242"/>
        <w:gridCol w:w="1276"/>
        <w:gridCol w:w="1276"/>
        <w:gridCol w:w="1874"/>
        <w:gridCol w:w="2237"/>
        <w:gridCol w:w="1417"/>
        <w:gridCol w:w="1276"/>
        <w:gridCol w:w="1701"/>
        <w:gridCol w:w="1559"/>
      </w:tblGrid>
      <w:tr w:rsidR="00636163" w:rsidRPr="00636163" w:rsidTr="00DA41E4">
        <w:trPr>
          <w:jc w:val="center"/>
        </w:trPr>
        <w:tc>
          <w:tcPr>
            <w:tcW w:w="1242" w:type="dxa"/>
            <w:vAlign w:val="center"/>
          </w:tcPr>
          <w:p w:rsidR="00636163" w:rsidRPr="00636163" w:rsidRDefault="00636163" w:rsidP="00636163">
            <w:pPr>
              <w:widowControl/>
              <w:overflowPunct w:val="0"/>
              <w:spacing w:line="300" w:lineRule="exact"/>
              <w:jc w:val="center"/>
              <w:rPr>
                <w:rFonts w:ascii="仿宋_GB2312" w:eastAsia="仿宋_GB2312" w:hAnsi="微软雅黑"/>
                <w:b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 w:rsidRPr="00636163">
              <w:rPr>
                <w:rFonts w:ascii="仿宋_GB2312" w:eastAsia="仿宋_GB2312" w:hAnsi="微软雅黑" w:hint="eastAsia"/>
                <w:b/>
                <w:color w:val="333333"/>
                <w:spacing w:val="-20"/>
                <w:sz w:val="28"/>
                <w:szCs w:val="28"/>
                <w:shd w:val="clear" w:color="auto" w:fill="FFFFFF"/>
              </w:rPr>
              <w:t>在产品种</w:t>
            </w:r>
          </w:p>
        </w:tc>
        <w:tc>
          <w:tcPr>
            <w:tcW w:w="1276" w:type="dxa"/>
            <w:vAlign w:val="center"/>
          </w:tcPr>
          <w:p w:rsidR="00636163" w:rsidRPr="00636163" w:rsidRDefault="00636163" w:rsidP="00636163">
            <w:pPr>
              <w:widowControl/>
              <w:overflowPunct w:val="0"/>
              <w:spacing w:line="300" w:lineRule="exact"/>
              <w:jc w:val="center"/>
              <w:rPr>
                <w:rFonts w:ascii="仿宋_GB2312" w:eastAsia="仿宋_GB2312" w:hAnsi="微软雅黑"/>
                <w:b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 w:rsidRPr="00636163">
              <w:rPr>
                <w:rFonts w:ascii="仿宋_GB2312" w:eastAsia="仿宋_GB2312" w:hAnsi="微软雅黑" w:hint="eastAsia"/>
                <w:b/>
                <w:color w:val="333333"/>
                <w:spacing w:val="-20"/>
                <w:sz w:val="28"/>
                <w:szCs w:val="28"/>
                <w:shd w:val="clear" w:color="auto" w:fill="FFFFFF"/>
              </w:rPr>
              <w:t>包装规格</w:t>
            </w:r>
          </w:p>
        </w:tc>
        <w:tc>
          <w:tcPr>
            <w:tcW w:w="1276" w:type="dxa"/>
            <w:vAlign w:val="center"/>
          </w:tcPr>
          <w:p w:rsidR="00636163" w:rsidRPr="00636163" w:rsidRDefault="00636163" w:rsidP="00636163">
            <w:pPr>
              <w:widowControl/>
              <w:overflowPunct w:val="0"/>
              <w:spacing w:line="300" w:lineRule="exact"/>
              <w:jc w:val="center"/>
              <w:rPr>
                <w:rFonts w:ascii="仿宋_GB2312" w:eastAsia="仿宋_GB2312" w:hAnsi="微软雅黑"/>
                <w:b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 w:rsidRPr="00636163">
              <w:rPr>
                <w:rFonts w:ascii="仿宋_GB2312" w:eastAsia="仿宋_GB2312" w:hAnsi="微软雅黑" w:hint="eastAsia"/>
                <w:b/>
                <w:color w:val="333333"/>
                <w:spacing w:val="-20"/>
                <w:sz w:val="28"/>
                <w:szCs w:val="28"/>
                <w:shd w:val="clear" w:color="auto" w:fill="FFFFFF"/>
              </w:rPr>
              <w:t>自建或第三方建设追溯系统名称</w:t>
            </w:r>
          </w:p>
        </w:tc>
        <w:tc>
          <w:tcPr>
            <w:tcW w:w="1874" w:type="dxa"/>
            <w:vAlign w:val="center"/>
          </w:tcPr>
          <w:p w:rsidR="00636163" w:rsidRPr="00636163" w:rsidRDefault="00636163" w:rsidP="009B0BC3">
            <w:pPr>
              <w:widowControl/>
              <w:overflowPunct w:val="0"/>
              <w:spacing w:line="300" w:lineRule="exact"/>
              <w:jc w:val="center"/>
              <w:rPr>
                <w:rFonts w:ascii="仿宋_GB2312" w:eastAsia="仿宋_GB2312" w:hAnsi="微软雅黑"/>
                <w:b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 w:rsidRPr="00636163">
              <w:rPr>
                <w:rFonts w:ascii="仿宋_GB2312" w:eastAsia="仿宋_GB2312" w:hAnsi="微软雅黑" w:hint="eastAsia"/>
                <w:b/>
                <w:color w:val="333333"/>
                <w:spacing w:val="-20"/>
                <w:sz w:val="28"/>
                <w:szCs w:val="28"/>
                <w:shd w:val="clear" w:color="auto" w:fill="FFFFFF"/>
              </w:rPr>
              <w:t>建设进度</w:t>
            </w:r>
          </w:p>
        </w:tc>
        <w:tc>
          <w:tcPr>
            <w:tcW w:w="2237" w:type="dxa"/>
            <w:vAlign w:val="center"/>
          </w:tcPr>
          <w:p w:rsidR="00636163" w:rsidRPr="00636163" w:rsidRDefault="00636163" w:rsidP="009B0BC3">
            <w:pPr>
              <w:widowControl/>
              <w:overflowPunct w:val="0"/>
              <w:spacing w:line="300" w:lineRule="exact"/>
              <w:jc w:val="center"/>
              <w:rPr>
                <w:rFonts w:ascii="仿宋_GB2312" w:eastAsia="仿宋_GB2312" w:hAnsi="微软雅黑"/>
                <w:b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 w:rsidRPr="00636163">
              <w:rPr>
                <w:rFonts w:ascii="仿宋_GB2312" w:eastAsia="仿宋_GB2312" w:hAnsi="微软雅黑" w:hint="eastAsia"/>
                <w:b/>
                <w:color w:val="333333"/>
                <w:spacing w:val="-20"/>
                <w:sz w:val="28"/>
                <w:szCs w:val="28"/>
                <w:shd w:val="clear" w:color="auto" w:fill="FFFFFF"/>
              </w:rPr>
              <w:t>出厂是否</w:t>
            </w:r>
            <w:r w:rsidR="009B0BC3">
              <w:rPr>
                <w:rFonts w:ascii="仿宋_GB2312" w:eastAsia="仿宋_GB2312" w:hAnsi="微软雅黑" w:hint="eastAsia"/>
                <w:b/>
                <w:color w:val="333333"/>
                <w:spacing w:val="-20"/>
                <w:sz w:val="28"/>
                <w:szCs w:val="28"/>
                <w:shd w:val="clear" w:color="auto" w:fill="FFFFFF"/>
              </w:rPr>
              <w:t>进行</w:t>
            </w:r>
            <w:r w:rsidRPr="00636163">
              <w:rPr>
                <w:rFonts w:ascii="仿宋_GB2312" w:eastAsia="仿宋_GB2312" w:hAnsi="微软雅黑" w:hint="eastAsia"/>
                <w:b/>
                <w:color w:val="333333"/>
                <w:spacing w:val="-20"/>
                <w:sz w:val="28"/>
                <w:szCs w:val="28"/>
                <w:shd w:val="clear" w:color="auto" w:fill="FFFFFF"/>
              </w:rPr>
              <w:t>赋码扫码</w:t>
            </w:r>
          </w:p>
        </w:tc>
        <w:tc>
          <w:tcPr>
            <w:tcW w:w="1417" w:type="dxa"/>
            <w:vAlign w:val="center"/>
          </w:tcPr>
          <w:p w:rsidR="00636163" w:rsidRPr="00636163" w:rsidRDefault="00636163" w:rsidP="00636163">
            <w:pPr>
              <w:widowControl/>
              <w:overflowPunct w:val="0"/>
              <w:spacing w:line="300" w:lineRule="exact"/>
              <w:jc w:val="center"/>
              <w:rPr>
                <w:rFonts w:ascii="仿宋_GB2312" w:eastAsia="仿宋_GB2312" w:hAnsi="微软雅黑"/>
                <w:b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 w:rsidRPr="00636163">
              <w:rPr>
                <w:rFonts w:ascii="仿宋_GB2312" w:eastAsia="仿宋_GB2312" w:hAnsi="微软雅黑" w:hint="eastAsia"/>
                <w:b/>
                <w:color w:val="333333"/>
                <w:spacing w:val="-20"/>
                <w:sz w:val="28"/>
                <w:szCs w:val="28"/>
                <w:shd w:val="clear" w:color="auto" w:fill="FFFFFF"/>
              </w:rPr>
              <w:t>通过何种方式要求下游企业出入库扫码及上传追溯信息</w:t>
            </w:r>
          </w:p>
        </w:tc>
        <w:tc>
          <w:tcPr>
            <w:tcW w:w="1276" w:type="dxa"/>
            <w:vAlign w:val="center"/>
          </w:tcPr>
          <w:p w:rsidR="00636163" w:rsidRPr="00636163" w:rsidRDefault="00636163" w:rsidP="009B0BC3">
            <w:pPr>
              <w:widowControl/>
              <w:overflowPunct w:val="0"/>
              <w:spacing w:line="300" w:lineRule="exact"/>
              <w:jc w:val="center"/>
              <w:rPr>
                <w:rFonts w:ascii="仿宋_GB2312" w:eastAsia="仿宋_GB2312" w:hAnsi="微软雅黑"/>
                <w:b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 w:rsidRPr="00636163">
              <w:rPr>
                <w:rFonts w:ascii="仿宋_GB2312" w:eastAsia="仿宋_GB2312" w:hAnsi="微软雅黑" w:hint="eastAsia"/>
                <w:b/>
                <w:color w:val="333333"/>
                <w:spacing w:val="-20"/>
                <w:sz w:val="28"/>
                <w:szCs w:val="28"/>
                <w:shd w:val="clear" w:color="auto" w:fill="FFFFFF"/>
              </w:rPr>
              <w:t>下游企业反馈追溯信息情况</w:t>
            </w:r>
          </w:p>
        </w:tc>
        <w:tc>
          <w:tcPr>
            <w:tcW w:w="1701" w:type="dxa"/>
            <w:vAlign w:val="center"/>
          </w:tcPr>
          <w:p w:rsidR="00636163" w:rsidRPr="00636163" w:rsidRDefault="00636163" w:rsidP="00636163">
            <w:pPr>
              <w:widowControl/>
              <w:overflowPunct w:val="0"/>
              <w:spacing w:line="300" w:lineRule="exact"/>
              <w:jc w:val="center"/>
              <w:rPr>
                <w:rFonts w:ascii="仿宋_GB2312" w:eastAsia="仿宋_GB2312" w:hAnsi="微软雅黑"/>
                <w:b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 w:rsidRPr="00636163">
              <w:rPr>
                <w:rFonts w:ascii="仿宋_GB2312" w:eastAsia="仿宋_GB2312" w:hAnsi="微软雅黑" w:hint="eastAsia"/>
                <w:b/>
                <w:color w:val="333333"/>
                <w:spacing w:val="-20"/>
                <w:sz w:val="28"/>
                <w:szCs w:val="28"/>
                <w:shd w:val="clear" w:color="auto" w:fill="FFFFFF"/>
              </w:rPr>
              <w:t>企业计划实现全过程追溯时间节点</w:t>
            </w:r>
          </w:p>
        </w:tc>
        <w:tc>
          <w:tcPr>
            <w:tcW w:w="1559" w:type="dxa"/>
            <w:vAlign w:val="center"/>
          </w:tcPr>
          <w:p w:rsidR="00636163" w:rsidRPr="00636163" w:rsidRDefault="00636163" w:rsidP="00636163">
            <w:pPr>
              <w:widowControl/>
              <w:overflowPunct w:val="0"/>
              <w:spacing w:line="300" w:lineRule="exact"/>
              <w:jc w:val="center"/>
              <w:rPr>
                <w:rFonts w:ascii="仿宋_GB2312" w:eastAsia="仿宋_GB2312" w:hAnsi="微软雅黑"/>
                <w:b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 w:rsidRPr="00636163">
              <w:rPr>
                <w:rFonts w:ascii="仿宋_GB2312" w:eastAsia="仿宋_GB2312" w:hAnsi="微软雅黑" w:hint="eastAsia"/>
                <w:b/>
                <w:color w:val="333333"/>
                <w:spacing w:val="-20"/>
                <w:sz w:val="28"/>
                <w:szCs w:val="28"/>
                <w:shd w:val="clear" w:color="auto" w:fill="FFFFFF"/>
              </w:rPr>
              <w:t>存在困难及问题</w:t>
            </w:r>
          </w:p>
        </w:tc>
      </w:tr>
      <w:tr w:rsidR="00636163" w:rsidRPr="00636163" w:rsidTr="00DA41E4">
        <w:trPr>
          <w:jc w:val="center"/>
        </w:trPr>
        <w:tc>
          <w:tcPr>
            <w:tcW w:w="1242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4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7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636163" w:rsidRPr="00636163" w:rsidTr="00DA41E4">
        <w:trPr>
          <w:jc w:val="center"/>
        </w:trPr>
        <w:tc>
          <w:tcPr>
            <w:tcW w:w="1242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4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7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636163" w:rsidRPr="00636163" w:rsidTr="00DA41E4">
        <w:trPr>
          <w:jc w:val="center"/>
        </w:trPr>
        <w:tc>
          <w:tcPr>
            <w:tcW w:w="1242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4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7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636163" w:rsidRPr="00636163" w:rsidTr="00DA41E4">
        <w:trPr>
          <w:jc w:val="center"/>
        </w:trPr>
        <w:tc>
          <w:tcPr>
            <w:tcW w:w="1242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4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7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636163" w:rsidRPr="00636163" w:rsidTr="00DA41E4">
        <w:trPr>
          <w:jc w:val="center"/>
        </w:trPr>
        <w:tc>
          <w:tcPr>
            <w:tcW w:w="1242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4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7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636163" w:rsidRPr="00636163" w:rsidRDefault="00636163" w:rsidP="00636163">
            <w:pPr>
              <w:widowControl/>
              <w:overflowPunct w:val="0"/>
              <w:spacing w:line="560" w:lineRule="exact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636163" w:rsidRPr="00636163" w:rsidRDefault="00636163" w:rsidP="00636163">
      <w:pPr>
        <w:widowControl/>
        <w:shd w:val="clear" w:color="auto" w:fill="FFFFFF"/>
        <w:overflowPunct w:val="0"/>
        <w:spacing w:line="560" w:lineRule="exact"/>
        <w:rPr>
          <w:rFonts w:ascii="仿宋_GB2312" w:eastAsia="仿宋_GB2312" w:hAnsi="微软雅黑"/>
          <w:color w:val="333333"/>
          <w:sz w:val="28"/>
          <w:szCs w:val="28"/>
          <w:shd w:val="clear" w:color="auto" w:fill="FFFFFF"/>
        </w:rPr>
        <w:sectPr w:rsidR="00636163" w:rsidRPr="00636163" w:rsidSect="00636163">
          <w:footerReference w:type="even" r:id="rId7"/>
          <w:footerReference w:type="default" r:id="rId8"/>
          <w:pgSz w:w="16838" w:h="11906" w:orient="landscape"/>
          <w:pgMar w:top="1797" w:right="1440" w:bottom="1797" w:left="1440" w:header="851" w:footer="1417" w:gutter="0"/>
          <w:pgNumType w:fmt="numberInDash"/>
          <w:cols w:space="425"/>
          <w:docGrid w:type="linesAndChars" w:linePitch="312"/>
        </w:sectPr>
      </w:pPr>
      <w:r w:rsidRPr="00636163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填表说明：1、此表为国家集采中选、血液制品、麻醉药品、精神药品（含第一类精神药品和第二类精神药品）四类药品生产企业填报；2、在产品种是指目前正常生产的四类重点品种，其中麻醉药品、精神药品是指单方制剂；3、包装规格指从最小包装至整箱</w:t>
      </w:r>
      <w:r w:rsidR="009B0BC3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。</w:t>
      </w:r>
    </w:p>
    <w:p w:rsidR="00636163" w:rsidRPr="009B0BC3" w:rsidRDefault="00636163" w:rsidP="009B0BC3">
      <w:pPr>
        <w:widowControl/>
        <w:shd w:val="clear" w:color="auto" w:fill="FFFFFF"/>
        <w:overflowPunct w:val="0"/>
        <w:spacing w:line="560" w:lineRule="exact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636163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lastRenderedPageBreak/>
        <w:t>附件3</w:t>
      </w:r>
    </w:p>
    <w:p w:rsidR="009B0BC3" w:rsidRDefault="009B0BC3" w:rsidP="009B0BC3">
      <w:pPr>
        <w:overflowPunct w:val="0"/>
        <w:spacing w:line="540" w:lineRule="exact"/>
        <w:jc w:val="center"/>
        <w:rPr>
          <w:rFonts w:ascii="方正小标宋简体" w:eastAsia="方正小标宋简体" w:hAnsi="黑体" w:cs="仿宋"/>
          <w:color w:val="333333"/>
          <w:sz w:val="44"/>
          <w:szCs w:val="44"/>
          <w:shd w:val="clear" w:color="auto" w:fill="FFFFFF"/>
        </w:rPr>
      </w:pPr>
    </w:p>
    <w:p w:rsidR="00636163" w:rsidRPr="00636163" w:rsidRDefault="00636163" w:rsidP="009B0BC3">
      <w:pPr>
        <w:overflowPunct w:val="0"/>
        <w:spacing w:line="540" w:lineRule="exact"/>
        <w:jc w:val="center"/>
        <w:rPr>
          <w:rFonts w:ascii="方正小标宋简体" w:eastAsia="方正小标宋简体" w:hAnsi="黑体" w:cs="仿宋"/>
          <w:color w:val="333333"/>
          <w:sz w:val="44"/>
          <w:szCs w:val="44"/>
          <w:shd w:val="clear" w:color="auto" w:fill="FFFFFF"/>
        </w:rPr>
      </w:pPr>
      <w:r w:rsidRPr="00636163">
        <w:rPr>
          <w:rFonts w:ascii="方正小标宋简体" w:eastAsia="方正小标宋简体" w:hAnsi="黑体" w:cs="仿宋" w:hint="eastAsia"/>
          <w:color w:val="333333"/>
          <w:sz w:val="44"/>
          <w:szCs w:val="44"/>
          <w:shd w:val="clear" w:color="auto" w:fill="FFFFFF"/>
        </w:rPr>
        <w:t>药品信息化追溯体系建设责任告知书</w:t>
      </w:r>
    </w:p>
    <w:p w:rsidR="00636163" w:rsidRPr="00636163" w:rsidRDefault="00636163" w:rsidP="009B0BC3">
      <w:pPr>
        <w:widowControl/>
        <w:shd w:val="clear" w:color="auto" w:fill="FFFFFF"/>
        <w:overflowPunct w:val="0"/>
        <w:spacing w:line="540" w:lineRule="exact"/>
        <w:ind w:firstLine="645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 w:rsidRPr="00636163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一、</w:t>
      </w:r>
      <w:r w:rsidRPr="0063616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实施药品追溯制度法律依据是《中华人民共和国药品管理法》第十二条、第三十六条之规定。未按照规定建立并实施药品追溯制度，涉嫌违反《中华人民共和国药品管理法》第一百二十七条之规定，</w:t>
      </w:r>
      <w:r w:rsidR="009B0BC3" w:rsidRPr="009B0BC3"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  <w:t>责令限</w:t>
      </w:r>
      <w:r w:rsidR="009B0BC3"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  <w:t>期改正，给予警告；逾期不改正的，处十万元以上五十万元以下的罚款</w:t>
      </w:r>
      <w:r w:rsidRPr="0063616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。</w:t>
      </w:r>
    </w:p>
    <w:p w:rsidR="00636163" w:rsidRPr="00636163" w:rsidRDefault="00636163" w:rsidP="009B0BC3">
      <w:pPr>
        <w:overflowPunct w:val="0"/>
        <w:spacing w:line="540" w:lineRule="exact"/>
        <w:ind w:firstLineChars="200" w:firstLine="640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 w:rsidRPr="0063616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二、</w:t>
      </w:r>
      <w:r w:rsidRPr="00636163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2020年12月31日之前，</w:t>
      </w:r>
      <w:r w:rsidRPr="0063616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药品上市许可持有人、</w:t>
      </w:r>
      <w:r w:rsidR="009B0BC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药品</w:t>
      </w:r>
      <w:r w:rsidRPr="0063616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生产经营企业要通过自建或者委托第三方建设药品追溯体系，</w:t>
      </w:r>
      <w:r w:rsidRPr="00636163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基本实现国家药品集中采购中选品种、麻醉药品、精神药品、血液制品四类重点品种可追溯。</w:t>
      </w:r>
    </w:p>
    <w:p w:rsidR="00636163" w:rsidRPr="00636163" w:rsidRDefault="00636163" w:rsidP="009B0BC3">
      <w:pPr>
        <w:widowControl/>
        <w:shd w:val="clear" w:color="auto" w:fill="FFFFFF"/>
        <w:overflowPunct w:val="0"/>
        <w:spacing w:line="540" w:lineRule="exact"/>
        <w:ind w:firstLine="645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 w:rsidRPr="0063616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三、药品上市许可持有人、</w:t>
      </w:r>
      <w:r w:rsidR="009B0BC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药品</w:t>
      </w:r>
      <w:r w:rsidRPr="0063616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生产经营企业通过信息化手段建立药品追溯系统，及时准确记录、保存药品追溯数据，形成互联互通药品追溯数据链，能够实现药品生产、流通和使用全过程来源可查、去向可追;有效防范非法药品进入合法渠道;确保发生质量安全风险的药品可召回、责任可追究。</w:t>
      </w:r>
    </w:p>
    <w:p w:rsidR="00636163" w:rsidRPr="00636163" w:rsidRDefault="00636163" w:rsidP="009B0BC3">
      <w:pPr>
        <w:widowControl/>
        <w:shd w:val="clear" w:color="auto" w:fill="FFFFFF"/>
        <w:overflowPunct w:val="0"/>
        <w:spacing w:line="540" w:lineRule="exact"/>
        <w:ind w:firstLine="645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 w:rsidRPr="0063616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四、药品上市许可持有人、</w:t>
      </w:r>
      <w:r w:rsidR="009B0BC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药品</w:t>
      </w:r>
      <w:r w:rsidRPr="0063616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生产经营企业是药品质量安全的责任主体，负有追溯义务。药品上市许可持有人和</w:t>
      </w:r>
      <w:r w:rsidR="009B0BC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药品</w:t>
      </w:r>
      <w:r w:rsidRPr="0063616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生产企业承担药品追溯系统建设的主要责任，药品经营企业应当配合药品上市许可持有人和</w:t>
      </w:r>
      <w:r w:rsidR="009B0BC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药品</w:t>
      </w:r>
      <w:r w:rsidRPr="0063616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生产企业，建成完整药品追溯系统，履行各自追溯责任。</w:t>
      </w:r>
    </w:p>
    <w:p w:rsidR="00636163" w:rsidRPr="00636163" w:rsidRDefault="00636163" w:rsidP="009B0BC3">
      <w:pPr>
        <w:widowControl/>
        <w:shd w:val="clear" w:color="auto" w:fill="FFFFFF"/>
        <w:overflowPunct w:val="0"/>
        <w:spacing w:line="540" w:lineRule="exact"/>
        <w:ind w:firstLine="645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 w:rsidRPr="0063616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lastRenderedPageBreak/>
        <w:t>五、药品上市许可持有人、</w:t>
      </w:r>
      <w:r w:rsidR="009B0BC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药品</w:t>
      </w:r>
      <w:r w:rsidRPr="0063616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生产经营企业要遵守相关法规和技术标准，建立健全信息化追溯管理制度，切实履行主体责任。要按照质量管理规范要求对相关活动进行记录，记录应当真实、准确、完整、防篡改和可追溯，并向监管部门提供相关数据，为社会公众提供信息查询。</w:t>
      </w:r>
    </w:p>
    <w:p w:rsidR="009B0BC3" w:rsidRDefault="00636163" w:rsidP="009B0BC3">
      <w:pPr>
        <w:widowControl/>
        <w:shd w:val="clear" w:color="auto" w:fill="FFFFFF"/>
        <w:overflowPunct w:val="0"/>
        <w:spacing w:line="540" w:lineRule="exact"/>
        <w:ind w:firstLine="645"/>
        <w:rPr>
          <w:rFonts w:ascii="仿宋_GB2312" w:eastAsia="仿宋_GB2312" w:hAnsi="微软雅黑" w:cs="宋体"/>
          <w:color w:val="333333"/>
          <w:sz w:val="32"/>
          <w:szCs w:val="32"/>
        </w:rPr>
      </w:pPr>
      <w:r w:rsidRPr="0063616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六、</w:t>
      </w:r>
      <w:r w:rsidRPr="00636163">
        <w:rPr>
          <w:rFonts w:ascii="仿宋_GB2312" w:eastAsia="仿宋_GB2312" w:hAnsi="微软雅黑" w:cs="宋体" w:hint="eastAsia"/>
          <w:color w:val="333333"/>
          <w:sz w:val="32"/>
          <w:szCs w:val="32"/>
        </w:rPr>
        <w:t>药品上市许可持有人和</w:t>
      </w:r>
      <w:r w:rsidR="009B0BC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药品</w:t>
      </w:r>
      <w:r w:rsidRPr="00636163">
        <w:rPr>
          <w:rFonts w:ascii="仿宋_GB2312" w:eastAsia="仿宋_GB2312" w:hAnsi="微软雅黑" w:cs="宋体" w:hint="eastAsia"/>
          <w:color w:val="333333"/>
          <w:sz w:val="32"/>
          <w:szCs w:val="32"/>
        </w:rPr>
        <w:t>生产企业应履行药品信息化追溯管理责任，按照统一药品追溯编码要求，对产品各级销售包装单元赋以唯一追溯标识，以实现信息化追溯。药品上市许可持有人和</w:t>
      </w:r>
      <w:r w:rsidR="009B0BC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药品</w:t>
      </w:r>
      <w:r w:rsidRPr="00636163">
        <w:rPr>
          <w:rFonts w:ascii="仿宋_GB2312" w:eastAsia="仿宋_GB2312" w:hAnsi="微软雅黑" w:cs="宋体" w:hint="eastAsia"/>
          <w:color w:val="333333"/>
          <w:sz w:val="32"/>
          <w:szCs w:val="32"/>
        </w:rPr>
        <w:t>生产企业在销售药品时，应向下游企业提供相关追溯信息，以便下游企业验证反馈。药品上市许可持有人和</w:t>
      </w:r>
      <w:r w:rsidR="009B0BC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药品</w:t>
      </w:r>
      <w:r w:rsidRPr="00636163">
        <w:rPr>
          <w:rFonts w:ascii="仿宋_GB2312" w:eastAsia="仿宋_GB2312" w:hAnsi="微软雅黑" w:cs="宋体" w:hint="eastAsia"/>
          <w:color w:val="333333"/>
          <w:sz w:val="32"/>
          <w:szCs w:val="32"/>
        </w:rPr>
        <w:t>生产企业要能及时、准确获得所生产药品的流通全过程信息。</w:t>
      </w:r>
    </w:p>
    <w:p w:rsidR="009B0BC3" w:rsidRDefault="00636163" w:rsidP="009B0BC3">
      <w:pPr>
        <w:widowControl/>
        <w:shd w:val="clear" w:color="auto" w:fill="FFFFFF"/>
        <w:overflowPunct w:val="0"/>
        <w:spacing w:line="540" w:lineRule="exact"/>
        <w:ind w:firstLine="645"/>
        <w:rPr>
          <w:rFonts w:ascii="仿宋_GB2312" w:eastAsia="仿宋_GB2312" w:hAnsi="微软雅黑" w:cs="宋体"/>
          <w:color w:val="333333"/>
          <w:sz w:val="32"/>
          <w:szCs w:val="32"/>
        </w:rPr>
      </w:pPr>
      <w:r w:rsidRPr="0063616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七、药品</w:t>
      </w:r>
      <w:r w:rsidR="009B0BC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经营</w:t>
      </w:r>
      <w:r w:rsidRPr="0063616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企业在采购药品时，</w:t>
      </w:r>
      <w:r w:rsidR="009B0BC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应</w:t>
      </w:r>
      <w:r w:rsidR="009B0BC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通过追溯系统</w:t>
      </w:r>
      <w:r w:rsidRPr="0063616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向上游企业索取相关追溯信息，在药品验收时进行核对，并将核对信息</w:t>
      </w:r>
      <w:r w:rsidR="009B0BC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通过追溯系统</w:t>
      </w:r>
      <w:r w:rsidRPr="0063616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反馈上游企业;在销售药品时，应</w:t>
      </w:r>
      <w:r w:rsidR="009B0BC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通过追溯系统</w:t>
      </w:r>
      <w:r w:rsidRPr="0063616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向下游企业</w:t>
      </w:r>
      <w:r w:rsidR="009B0BC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或</w:t>
      </w:r>
      <w:r w:rsidR="009B0BC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有关机构</w:t>
      </w:r>
      <w:r w:rsidRPr="0063616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提供追溯信息。</w:t>
      </w:r>
    </w:p>
    <w:p w:rsidR="00636163" w:rsidRPr="009B0BC3" w:rsidRDefault="00636163" w:rsidP="009B0BC3">
      <w:pPr>
        <w:widowControl/>
        <w:shd w:val="clear" w:color="auto" w:fill="FFFFFF"/>
        <w:overflowPunct w:val="0"/>
        <w:spacing w:line="540" w:lineRule="exact"/>
        <w:ind w:firstLine="645"/>
        <w:rPr>
          <w:rFonts w:ascii="仿宋_GB2312" w:eastAsia="仿宋_GB2312" w:hAnsi="微软雅黑" w:cs="宋体"/>
          <w:color w:val="333333"/>
          <w:sz w:val="32"/>
          <w:szCs w:val="32"/>
        </w:rPr>
      </w:pPr>
      <w:r w:rsidRPr="0063616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八、药品上市许可持有人、</w:t>
      </w:r>
      <w:r w:rsidR="009B0BC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药品</w:t>
      </w:r>
      <w:r w:rsidRPr="0063616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生产企业、经营企业应从制度上、技术上保证药品追溯数据真实、准确、完整、不可篡改和可追溯。药品追溯数据记录和凭证保存期限应不少于五年。应明确专职部门及人员负责药品追溯数据管理，确保数据安全、防止数据泄露。</w:t>
      </w:r>
    </w:p>
    <w:p w:rsidR="00636163" w:rsidRPr="00636163" w:rsidRDefault="00636163" w:rsidP="009B0BC3">
      <w:pPr>
        <w:widowControl/>
        <w:shd w:val="clear" w:color="auto" w:fill="FFFFFF"/>
        <w:spacing w:line="540" w:lineRule="exact"/>
        <w:ind w:firstLine="48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:rsidR="00636163" w:rsidRPr="00636163" w:rsidRDefault="00636163" w:rsidP="009B0BC3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 w:rsidRPr="0063616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企业法定代表人签字：             （企业公章）</w:t>
      </w:r>
    </w:p>
    <w:p w:rsidR="00636163" w:rsidRPr="00636163" w:rsidRDefault="00636163" w:rsidP="009B0BC3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 w:rsidRPr="0063616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时间：</w:t>
      </w:r>
    </w:p>
    <w:p w:rsidR="004E6E15" w:rsidRDefault="004E6E15">
      <w:pPr>
        <w:spacing w:line="500" w:lineRule="exact"/>
        <w:rPr>
          <w:rFonts w:eastAsia="黑体"/>
          <w:color w:val="000000"/>
          <w:sz w:val="30"/>
          <w:szCs w:val="30"/>
        </w:rPr>
      </w:pPr>
    </w:p>
    <w:p w:rsidR="00B97ED3" w:rsidRDefault="00B97ED3" w:rsidP="00B97ED3">
      <w:pPr>
        <w:tabs>
          <w:tab w:val="left" w:pos="7797"/>
        </w:tabs>
        <w:spacing w:line="500" w:lineRule="exact"/>
        <w:rPr>
          <w:rFonts w:eastAsia="黑体"/>
          <w:color w:val="000000"/>
          <w:sz w:val="30"/>
          <w:szCs w:val="30"/>
        </w:rPr>
      </w:pPr>
    </w:p>
    <w:p w:rsidR="00636163" w:rsidRDefault="00636163" w:rsidP="00B97ED3">
      <w:pPr>
        <w:tabs>
          <w:tab w:val="left" w:pos="7797"/>
        </w:tabs>
        <w:spacing w:line="500" w:lineRule="exact"/>
        <w:rPr>
          <w:rFonts w:eastAsia="黑体"/>
          <w:color w:val="000000"/>
          <w:sz w:val="30"/>
          <w:szCs w:val="30"/>
        </w:rPr>
      </w:pPr>
    </w:p>
    <w:p w:rsidR="00636163" w:rsidRDefault="00636163" w:rsidP="00B97ED3">
      <w:pPr>
        <w:tabs>
          <w:tab w:val="left" w:pos="7797"/>
        </w:tabs>
        <w:spacing w:line="500" w:lineRule="exact"/>
        <w:rPr>
          <w:rFonts w:eastAsia="黑体"/>
          <w:color w:val="000000"/>
          <w:sz w:val="30"/>
          <w:szCs w:val="30"/>
        </w:rPr>
      </w:pPr>
    </w:p>
    <w:p w:rsidR="00636163" w:rsidRDefault="00636163" w:rsidP="00B97ED3">
      <w:pPr>
        <w:tabs>
          <w:tab w:val="left" w:pos="7797"/>
        </w:tabs>
        <w:spacing w:line="500" w:lineRule="exact"/>
        <w:rPr>
          <w:rFonts w:eastAsia="黑体"/>
          <w:color w:val="000000"/>
          <w:sz w:val="30"/>
          <w:szCs w:val="30"/>
        </w:rPr>
      </w:pPr>
    </w:p>
    <w:p w:rsidR="00636163" w:rsidRDefault="00636163" w:rsidP="00B97ED3">
      <w:pPr>
        <w:tabs>
          <w:tab w:val="left" w:pos="7797"/>
        </w:tabs>
        <w:spacing w:line="500" w:lineRule="exact"/>
        <w:rPr>
          <w:rFonts w:eastAsia="黑体"/>
          <w:color w:val="000000"/>
          <w:sz w:val="30"/>
          <w:szCs w:val="30"/>
        </w:rPr>
      </w:pPr>
    </w:p>
    <w:p w:rsidR="00636163" w:rsidRDefault="00636163" w:rsidP="00B97ED3">
      <w:pPr>
        <w:tabs>
          <w:tab w:val="left" w:pos="7797"/>
        </w:tabs>
        <w:spacing w:line="500" w:lineRule="exact"/>
        <w:rPr>
          <w:rFonts w:eastAsia="黑体"/>
          <w:color w:val="000000"/>
          <w:sz w:val="30"/>
          <w:szCs w:val="30"/>
        </w:rPr>
      </w:pPr>
    </w:p>
    <w:p w:rsidR="00636163" w:rsidRDefault="00636163" w:rsidP="00B97ED3">
      <w:pPr>
        <w:tabs>
          <w:tab w:val="left" w:pos="7797"/>
        </w:tabs>
        <w:spacing w:line="500" w:lineRule="exact"/>
        <w:rPr>
          <w:rFonts w:eastAsia="黑体"/>
          <w:color w:val="000000"/>
          <w:sz w:val="30"/>
          <w:szCs w:val="30"/>
        </w:rPr>
      </w:pPr>
    </w:p>
    <w:p w:rsidR="00636163" w:rsidRDefault="00636163" w:rsidP="00B97ED3">
      <w:pPr>
        <w:tabs>
          <w:tab w:val="left" w:pos="7797"/>
        </w:tabs>
        <w:spacing w:line="500" w:lineRule="exact"/>
        <w:rPr>
          <w:rFonts w:eastAsia="黑体"/>
          <w:color w:val="000000"/>
          <w:sz w:val="30"/>
          <w:szCs w:val="30"/>
        </w:rPr>
      </w:pPr>
    </w:p>
    <w:p w:rsidR="00636163" w:rsidRDefault="00636163" w:rsidP="00B97ED3">
      <w:pPr>
        <w:tabs>
          <w:tab w:val="left" w:pos="7797"/>
        </w:tabs>
        <w:spacing w:line="500" w:lineRule="exact"/>
        <w:rPr>
          <w:rFonts w:eastAsia="黑体"/>
          <w:color w:val="000000"/>
          <w:sz w:val="30"/>
          <w:szCs w:val="30"/>
        </w:rPr>
      </w:pPr>
    </w:p>
    <w:p w:rsidR="00636163" w:rsidRDefault="00636163" w:rsidP="00B97ED3">
      <w:pPr>
        <w:tabs>
          <w:tab w:val="left" w:pos="7797"/>
        </w:tabs>
        <w:spacing w:line="500" w:lineRule="exact"/>
        <w:rPr>
          <w:rFonts w:eastAsia="黑体"/>
          <w:color w:val="000000"/>
          <w:sz w:val="30"/>
          <w:szCs w:val="30"/>
        </w:rPr>
      </w:pPr>
    </w:p>
    <w:p w:rsidR="00636163" w:rsidRDefault="00636163" w:rsidP="00B97ED3">
      <w:pPr>
        <w:tabs>
          <w:tab w:val="left" w:pos="7797"/>
        </w:tabs>
        <w:spacing w:line="500" w:lineRule="exact"/>
        <w:rPr>
          <w:rFonts w:eastAsia="黑体"/>
          <w:color w:val="000000"/>
          <w:sz w:val="30"/>
          <w:szCs w:val="30"/>
        </w:rPr>
      </w:pPr>
    </w:p>
    <w:p w:rsidR="00636163" w:rsidRDefault="00636163" w:rsidP="00B97ED3">
      <w:pPr>
        <w:tabs>
          <w:tab w:val="left" w:pos="7797"/>
        </w:tabs>
        <w:spacing w:line="500" w:lineRule="exact"/>
        <w:rPr>
          <w:rFonts w:eastAsia="黑体"/>
          <w:color w:val="000000"/>
          <w:sz w:val="30"/>
          <w:szCs w:val="30"/>
        </w:rPr>
      </w:pPr>
    </w:p>
    <w:p w:rsidR="00636163" w:rsidRDefault="00636163" w:rsidP="00B97ED3">
      <w:pPr>
        <w:tabs>
          <w:tab w:val="left" w:pos="7797"/>
        </w:tabs>
        <w:spacing w:line="500" w:lineRule="exact"/>
        <w:rPr>
          <w:rFonts w:eastAsia="黑体"/>
          <w:color w:val="000000"/>
          <w:sz w:val="30"/>
          <w:szCs w:val="30"/>
        </w:rPr>
      </w:pPr>
    </w:p>
    <w:p w:rsidR="00636163" w:rsidRDefault="00636163" w:rsidP="00B97ED3">
      <w:pPr>
        <w:tabs>
          <w:tab w:val="left" w:pos="7797"/>
        </w:tabs>
        <w:spacing w:line="500" w:lineRule="exact"/>
        <w:rPr>
          <w:rFonts w:eastAsia="黑体"/>
          <w:color w:val="000000"/>
          <w:sz w:val="30"/>
          <w:szCs w:val="30"/>
        </w:rPr>
      </w:pPr>
    </w:p>
    <w:p w:rsidR="00636163" w:rsidRDefault="00636163" w:rsidP="00B97ED3">
      <w:pPr>
        <w:tabs>
          <w:tab w:val="left" w:pos="7797"/>
        </w:tabs>
        <w:spacing w:line="500" w:lineRule="exact"/>
        <w:rPr>
          <w:rFonts w:eastAsia="黑体"/>
          <w:color w:val="000000"/>
          <w:sz w:val="30"/>
          <w:szCs w:val="30"/>
        </w:rPr>
      </w:pPr>
    </w:p>
    <w:p w:rsidR="00636163" w:rsidRDefault="00636163" w:rsidP="00B97ED3">
      <w:pPr>
        <w:tabs>
          <w:tab w:val="left" w:pos="7797"/>
        </w:tabs>
        <w:spacing w:line="500" w:lineRule="exact"/>
        <w:rPr>
          <w:rFonts w:eastAsia="黑体"/>
          <w:color w:val="000000"/>
          <w:sz w:val="30"/>
          <w:szCs w:val="30"/>
        </w:rPr>
      </w:pPr>
    </w:p>
    <w:p w:rsidR="00636163" w:rsidRDefault="00636163" w:rsidP="00B97ED3">
      <w:pPr>
        <w:tabs>
          <w:tab w:val="left" w:pos="7797"/>
        </w:tabs>
        <w:spacing w:line="500" w:lineRule="exact"/>
        <w:rPr>
          <w:rFonts w:eastAsia="黑体"/>
          <w:color w:val="000000"/>
          <w:sz w:val="30"/>
          <w:szCs w:val="30"/>
        </w:rPr>
      </w:pPr>
    </w:p>
    <w:p w:rsidR="00636163" w:rsidRDefault="00636163" w:rsidP="00B97ED3">
      <w:pPr>
        <w:tabs>
          <w:tab w:val="left" w:pos="7797"/>
        </w:tabs>
        <w:spacing w:line="500" w:lineRule="exact"/>
        <w:rPr>
          <w:rFonts w:eastAsia="黑体"/>
          <w:color w:val="000000"/>
          <w:sz w:val="30"/>
          <w:szCs w:val="30"/>
        </w:rPr>
      </w:pPr>
    </w:p>
    <w:p w:rsidR="00636163" w:rsidRDefault="00636163" w:rsidP="00B97ED3">
      <w:pPr>
        <w:tabs>
          <w:tab w:val="left" w:pos="7797"/>
        </w:tabs>
        <w:spacing w:line="500" w:lineRule="exact"/>
        <w:rPr>
          <w:rFonts w:eastAsia="黑体"/>
          <w:color w:val="000000"/>
          <w:sz w:val="30"/>
          <w:szCs w:val="30"/>
        </w:rPr>
      </w:pPr>
    </w:p>
    <w:p w:rsidR="009B0BC3" w:rsidRDefault="009B0BC3" w:rsidP="009B0BC3">
      <w:pPr>
        <w:tabs>
          <w:tab w:val="left" w:pos="851"/>
          <w:tab w:val="left" w:pos="7797"/>
        </w:tabs>
        <w:spacing w:line="500" w:lineRule="exact"/>
        <w:rPr>
          <w:rFonts w:eastAsia="黑体"/>
          <w:color w:val="000000"/>
          <w:sz w:val="30"/>
          <w:szCs w:val="30"/>
        </w:rPr>
      </w:pPr>
    </w:p>
    <w:p w:rsidR="00636163" w:rsidRDefault="00636163" w:rsidP="00B97ED3">
      <w:pPr>
        <w:tabs>
          <w:tab w:val="left" w:pos="7797"/>
        </w:tabs>
        <w:spacing w:line="500" w:lineRule="exact"/>
        <w:rPr>
          <w:rFonts w:eastAsia="黑体"/>
          <w:color w:val="000000"/>
          <w:sz w:val="30"/>
          <w:szCs w:val="30"/>
        </w:rPr>
      </w:pPr>
    </w:p>
    <w:p w:rsidR="004E6E15" w:rsidRDefault="00143D07">
      <w:pPr>
        <w:snapToGrid w:val="0"/>
        <w:spacing w:line="360" w:lineRule="auto"/>
        <w:rPr>
          <w:rFonts w:eastAsia="黑体"/>
          <w:sz w:val="32"/>
          <w:szCs w:val="32"/>
        </w:rPr>
      </w:pPr>
      <w:r w:rsidRPr="00143D07">
        <w:rPr>
          <w:rFonts w:eastAsia="黑体"/>
          <w:noProof/>
          <w:color w:val="000000"/>
          <w:sz w:val="28"/>
          <w:szCs w:val="28"/>
        </w:rPr>
        <w:pict>
          <v:line id="_x0000_s1029" style="position:absolute;left:0;text-align:left;z-index:251660288" from="0,31.1pt" to="441pt,31.1pt" o:gfxdata="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p9XRD0wAAAAYBAAAPAAAAAAAAAAEAIAAAACIAAABkcnMvZG93bnJl&#10;di54bWxQSwECFAAUAAAACACHTuJAKZPkwckBAABcAwAADgAAAAAAAAABACAAAAAiAQAAZHJzL2Uy&#10;b0RvYy54bWxQSwUGAAAAAAYABgBZAQAAXQUAAAAA&#10;"/>
        </w:pict>
      </w:r>
      <w:r w:rsidR="007E23C1">
        <w:rPr>
          <w:rFonts w:eastAsia="黑体"/>
          <w:sz w:val="32"/>
          <w:szCs w:val="32"/>
        </w:rPr>
        <w:t>信息公开选项：</w:t>
      </w:r>
      <w:r w:rsidR="00636163">
        <w:rPr>
          <w:rFonts w:eastAsia="黑体" w:hint="eastAsia"/>
          <w:sz w:val="32"/>
          <w:szCs w:val="32"/>
        </w:rPr>
        <w:t>主动</w:t>
      </w:r>
      <w:r w:rsidR="00B97ED3">
        <w:rPr>
          <w:rFonts w:eastAsia="黑体" w:hint="eastAsia"/>
          <w:sz w:val="32"/>
          <w:szCs w:val="32"/>
        </w:rPr>
        <w:t>公开</w:t>
      </w:r>
    </w:p>
    <w:p w:rsidR="004E6E15" w:rsidRDefault="00143D07">
      <w:pPr>
        <w:ind w:leftChars="153" w:left="1679" w:hangingChars="485" w:hanging="1358"/>
        <w:rPr>
          <w:rFonts w:eastAsia="仿宋_GB2312"/>
          <w:color w:val="000000"/>
          <w:sz w:val="28"/>
          <w:szCs w:val="28"/>
        </w:rPr>
      </w:pPr>
      <w:r w:rsidRPr="00143D07">
        <w:rPr>
          <w:rFonts w:eastAsia="黑体"/>
          <w:noProof/>
          <w:color w:val="000000"/>
          <w:sz w:val="28"/>
          <w:szCs w:val="28"/>
        </w:rPr>
        <w:pict>
          <v:line id="直接连接符 3" o:spid="_x0000_s1028" style="position:absolute;left:0;text-align:left;z-index:251661312;visibility:visible" from="0,31.2pt" to="441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"/>
        </w:pict>
      </w:r>
      <w:r w:rsidRPr="00143D07">
        <w:rPr>
          <w:rFonts w:eastAsia="黑体"/>
          <w:noProof/>
          <w:color w:val="000000"/>
          <w:sz w:val="28"/>
          <w:szCs w:val="28"/>
        </w:rPr>
        <w:pict>
          <v:line id="直接连接符 2" o:spid="_x0000_s1027" style="position:absolute;left:0;text-align:left;z-index:251662336;visibility:visibl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" strokeweight=".5pt"/>
        </w:pict>
      </w:r>
      <w:r w:rsidR="007E23C1">
        <w:rPr>
          <w:rFonts w:eastAsia="仿宋_GB2312"/>
          <w:color w:val="000000"/>
          <w:sz w:val="28"/>
          <w:szCs w:val="28"/>
        </w:rPr>
        <w:t>四川省药品监督管理局办公室</w:t>
      </w:r>
      <w:r w:rsidR="00B97ED3">
        <w:rPr>
          <w:rFonts w:eastAsia="仿宋_GB2312"/>
          <w:color w:val="000000"/>
          <w:sz w:val="28"/>
          <w:szCs w:val="28"/>
        </w:rPr>
        <w:t>2020</w:t>
      </w:r>
      <w:r w:rsidR="00B97ED3">
        <w:rPr>
          <w:rFonts w:eastAsia="仿宋_GB2312" w:hint="eastAsia"/>
          <w:color w:val="000000"/>
          <w:sz w:val="28"/>
          <w:szCs w:val="28"/>
        </w:rPr>
        <w:t>年</w:t>
      </w:r>
      <w:r w:rsidR="00B97ED3">
        <w:rPr>
          <w:rFonts w:eastAsia="仿宋_GB2312" w:hint="eastAsia"/>
          <w:color w:val="000000"/>
          <w:sz w:val="28"/>
          <w:szCs w:val="28"/>
        </w:rPr>
        <w:t>12</w:t>
      </w:r>
      <w:r w:rsidR="00B97ED3">
        <w:rPr>
          <w:rFonts w:eastAsia="仿宋_GB2312" w:hint="eastAsia"/>
          <w:color w:val="000000"/>
          <w:sz w:val="28"/>
          <w:szCs w:val="28"/>
        </w:rPr>
        <w:t>月</w:t>
      </w:r>
      <w:r w:rsidR="00636163">
        <w:rPr>
          <w:rFonts w:eastAsia="仿宋_GB2312" w:hint="eastAsia"/>
          <w:color w:val="000000"/>
          <w:sz w:val="28"/>
          <w:szCs w:val="28"/>
        </w:rPr>
        <w:t>11</w:t>
      </w:r>
      <w:r w:rsidR="00B97ED3">
        <w:rPr>
          <w:rFonts w:eastAsia="仿宋_GB2312" w:hint="eastAsia"/>
          <w:color w:val="000000"/>
          <w:sz w:val="28"/>
          <w:szCs w:val="28"/>
        </w:rPr>
        <w:t>日</w:t>
      </w:r>
      <w:r w:rsidR="007E23C1">
        <w:rPr>
          <w:rFonts w:eastAsia="仿宋_GB2312"/>
          <w:color w:val="000000"/>
          <w:sz w:val="28"/>
          <w:szCs w:val="28"/>
        </w:rPr>
        <w:t>印发</w:t>
      </w:r>
    </w:p>
    <w:sectPr w:rsidR="004E6E15" w:rsidSect="00636163">
      <w:pgSz w:w="11906" w:h="16838"/>
      <w:pgMar w:top="2098" w:right="1531" w:bottom="2098" w:left="1531" w:header="709" w:footer="1701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612" w:rsidRDefault="00080612" w:rsidP="00A50959">
      <w:r>
        <w:separator/>
      </w:r>
    </w:p>
  </w:endnote>
  <w:endnote w:type="continuationSeparator" w:id="1">
    <w:p w:rsidR="00080612" w:rsidRDefault="00080612" w:rsidP="00A50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029248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636163" w:rsidRPr="00904991" w:rsidRDefault="00143D07">
        <w:pPr>
          <w:pStyle w:val="a3"/>
          <w:rPr>
            <w:rFonts w:ascii="宋体" w:eastAsia="宋体" w:hAnsi="宋体"/>
            <w:sz w:val="28"/>
            <w:szCs w:val="28"/>
          </w:rPr>
        </w:pPr>
        <w:r w:rsidRPr="00904991">
          <w:rPr>
            <w:rFonts w:ascii="宋体" w:eastAsia="宋体" w:hAnsi="宋体"/>
            <w:sz w:val="28"/>
            <w:szCs w:val="28"/>
          </w:rPr>
          <w:fldChar w:fldCharType="begin"/>
        </w:r>
        <w:r w:rsidR="00904991" w:rsidRPr="0090499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04991">
          <w:rPr>
            <w:rFonts w:ascii="宋体" w:eastAsia="宋体" w:hAnsi="宋体"/>
            <w:sz w:val="28"/>
            <w:szCs w:val="28"/>
          </w:rPr>
          <w:fldChar w:fldCharType="separate"/>
        </w:r>
        <w:r w:rsidR="00C45FA1" w:rsidRPr="00C45FA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C45FA1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90499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090453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636163" w:rsidRPr="00904991" w:rsidRDefault="00143D07" w:rsidP="00904991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904991">
          <w:rPr>
            <w:rFonts w:ascii="宋体" w:eastAsia="宋体" w:hAnsi="宋体"/>
            <w:sz w:val="28"/>
            <w:szCs w:val="28"/>
          </w:rPr>
          <w:fldChar w:fldCharType="begin"/>
        </w:r>
        <w:r w:rsidR="00904991" w:rsidRPr="0090499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04991">
          <w:rPr>
            <w:rFonts w:ascii="宋体" w:eastAsia="宋体" w:hAnsi="宋体"/>
            <w:sz w:val="28"/>
            <w:szCs w:val="28"/>
          </w:rPr>
          <w:fldChar w:fldCharType="separate"/>
        </w:r>
        <w:r w:rsidR="00C45FA1" w:rsidRPr="00C45FA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C45FA1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90499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612" w:rsidRDefault="00080612" w:rsidP="00A50959">
      <w:r>
        <w:separator/>
      </w:r>
    </w:p>
  </w:footnote>
  <w:footnote w:type="continuationSeparator" w:id="1">
    <w:p w:rsidR="00080612" w:rsidRDefault="00080612" w:rsidP="00A50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92.168.5.32:8090/seeyon/officeservlet"/>
  </w:docVars>
  <w:rsids>
    <w:rsidRoot w:val="00927B92"/>
    <w:rsid w:val="00001CEF"/>
    <w:rsid w:val="0001009F"/>
    <w:rsid w:val="00020AE2"/>
    <w:rsid w:val="00061516"/>
    <w:rsid w:val="00065F05"/>
    <w:rsid w:val="00080612"/>
    <w:rsid w:val="0008483A"/>
    <w:rsid w:val="000954D7"/>
    <w:rsid w:val="00097836"/>
    <w:rsid w:val="000A32F7"/>
    <w:rsid w:val="000A7172"/>
    <w:rsid w:val="000B2842"/>
    <w:rsid w:val="000B6EEB"/>
    <w:rsid w:val="000B730E"/>
    <w:rsid w:val="000C741B"/>
    <w:rsid w:val="000D5DB2"/>
    <w:rsid w:val="000D619C"/>
    <w:rsid w:val="000F2784"/>
    <w:rsid w:val="000F468B"/>
    <w:rsid w:val="00101C98"/>
    <w:rsid w:val="00102087"/>
    <w:rsid w:val="00130FFB"/>
    <w:rsid w:val="001350FF"/>
    <w:rsid w:val="001353EA"/>
    <w:rsid w:val="00143D07"/>
    <w:rsid w:val="0014730C"/>
    <w:rsid w:val="00152141"/>
    <w:rsid w:val="00155695"/>
    <w:rsid w:val="00155F61"/>
    <w:rsid w:val="00156BB7"/>
    <w:rsid w:val="0018138F"/>
    <w:rsid w:val="0018256E"/>
    <w:rsid w:val="0018300E"/>
    <w:rsid w:val="00183C80"/>
    <w:rsid w:val="001A3B8B"/>
    <w:rsid w:val="001A4E39"/>
    <w:rsid w:val="001B1BB7"/>
    <w:rsid w:val="001C12C7"/>
    <w:rsid w:val="001C7AFF"/>
    <w:rsid w:val="001E625F"/>
    <w:rsid w:val="001F691E"/>
    <w:rsid w:val="00200616"/>
    <w:rsid w:val="00204E9A"/>
    <w:rsid w:val="00227994"/>
    <w:rsid w:val="00232972"/>
    <w:rsid w:val="00234660"/>
    <w:rsid w:val="00243B35"/>
    <w:rsid w:val="00250B56"/>
    <w:rsid w:val="00253E38"/>
    <w:rsid w:val="00260043"/>
    <w:rsid w:val="00290759"/>
    <w:rsid w:val="002A0D4C"/>
    <w:rsid w:val="002C7044"/>
    <w:rsid w:val="002D0603"/>
    <w:rsid w:val="002D2D4D"/>
    <w:rsid w:val="0031230E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8688B"/>
    <w:rsid w:val="004A5D52"/>
    <w:rsid w:val="004D6500"/>
    <w:rsid w:val="004D72A9"/>
    <w:rsid w:val="004D764B"/>
    <w:rsid w:val="004E4CCA"/>
    <w:rsid w:val="004E67F0"/>
    <w:rsid w:val="004E6E15"/>
    <w:rsid w:val="004F2E0B"/>
    <w:rsid w:val="00502547"/>
    <w:rsid w:val="005042AA"/>
    <w:rsid w:val="0050480D"/>
    <w:rsid w:val="00507723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6897"/>
    <w:rsid w:val="005B7AE0"/>
    <w:rsid w:val="005D4941"/>
    <w:rsid w:val="005E380F"/>
    <w:rsid w:val="0060381F"/>
    <w:rsid w:val="006213BE"/>
    <w:rsid w:val="0062245A"/>
    <w:rsid w:val="00636163"/>
    <w:rsid w:val="006456AA"/>
    <w:rsid w:val="00654596"/>
    <w:rsid w:val="006622B9"/>
    <w:rsid w:val="006905B4"/>
    <w:rsid w:val="00691BFB"/>
    <w:rsid w:val="006A1C95"/>
    <w:rsid w:val="006A1F69"/>
    <w:rsid w:val="006A5275"/>
    <w:rsid w:val="006B6120"/>
    <w:rsid w:val="006D39FD"/>
    <w:rsid w:val="006E52EA"/>
    <w:rsid w:val="006E68EA"/>
    <w:rsid w:val="006E7BB4"/>
    <w:rsid w:val="006F1095"/>
    <w:rsid w:val="006F6296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113A"/>
    <w:rsid w:val="007943B4"/>
    <w:rsid w:val="00795064"/>
    <w:rsid w:val="007A0323"/>
    <w:rsid w:val="007A1174"/>
    <w:rsid w:val="007A42F2"/>
    <w:rsid w:val="007B6F89"/>
    <w:rsid w:val="007D6D8E"/>
    <w:rsid w:val="007D7E6A"/>
    <w:rsid w:val="007E23C1"/>
    <w:rsid w:val="007E515C"/>
    <w:rsid w:val="00805E9A"/>
    <w:rsid w:val="00815375"/>
    <w:rsid w:val="0081594B"/>
    <w:rsid w:val="00823A9D"/>
    <w:rsid w:val="00826070"/>
    <w:rsid w:val="0084756F"/>
    <w:rsid w:val="00854BCD"/>
    <w:rsid w:val="008551C1"/>
    <w:rsid w:val="008621EB"/>
    <w:rsid w:val="00876C75"/>
    <w:rsid w:val="00877746"/>
    <w:rsid w:val="00877E34"/>
    <w:rsid w:val="00880DC3"/>
    <w:rsid w:val="00891733"/>
    <w:rsid w:val="00895978"/>
    <w:rsid w:val="008A12E7"/>
    <w:rsid w:val="008A6928"/>
    <w:rsid w:val="008E3F3B"/>
    <w:rsid w:val="008F4862"/>
    <w:rsid w:val="008F6205"/>
    <w:rsid w:val="0090174D"/>
    <w:rsid w:val="00904991"/>
    <w:rsid w:val="0091521F"/>
    <w:rsid w:val="009171E4"/>
    <w:rsid w:val="009201FB"/>
    <w:rsid w:val="00924D19"/>
    <w:rsid w:val="00927B92"/>
    <w:rsid w:val="0095180E"/>
    <w:rsid w:val="009547ED"/>
    <w:rsid w:val="00957D4E"/>
    <w:rsid w:val="00977570"/>
    <w:rsid w:val="00980A13"/>
    <w:rsid w:val="00983F20"/>
    <w:rsid w:val="009973D3"/>
    <w:rsid w:val="009A4595"/>
    <w:rsid w:val="009B0BC3"/>
    <w:rsid w:val="009C3C0F"/>
    <w:rsid w:val="009C3C96"/>
    <w:rsid w:val="009C3FA4"/>
    <w:rsid w:val="009D71AC"/>
    <w:rsid w:val="009E12B0"/>
    <w:rsid w:val="009E32F2"/>
    <w:rsid w:val="009E3FC5"/>
    <w:rsid w:val="009E4810"/>
    <w:rsid w:val="009E6508"/>
    <w:rsid w:val="009E70D1"/>
    <w:rsid w:val="00A14B5C"/>
    <w:rsid w:val="00A14EB7"/>
    <w:rsid w:val="00A31AAC"/>
    <w:rsid w:val="00A351EB"/>
    <w:rsid w:val="00A3578D"/>
    <w:rsid w:val="00A3591F"/>
    <w:rsid w:val="00A50959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D5C7E"/>
    <w:rsid w:val="00AE07D5"/>
    <w:rsid w:val="00AE763D"/>
    <w:rsid w:val="00AF3C4C"/>
    <w:rsid w:val="00AF56A7"/>
    <w:rsid w:val="00B03D5C"/>
    <w:rsid w:val="00B16402"/>
    <w:rsid w:val="00B2313C"/>
    <w:rsid w:val="00B25262"/>
    <w:rsid w:val="00B37D2A"/>
    <w:rsid w:val="00B47E52"/>
    <w:rsid w:val="00B649BD"/>
    <w:rsid w:val="00B6513A"/>
    <w:rsid w:val="00B731A2"/>
    <w:rsid w:val="00B97ED3"/>
    <w:rsid w:val="00BA28AC"/>
    <w:rsid w:val="00BA57AB"/>
    <w:rsid w:val="00BB2543"/>
    <w:rsid w:val="00BC4E87"/>
    <w:rsid w:val="00BC545B"/>
    <w:rsid w:val="00BC7CD8"/>
    <w:rsid w:val="00BD03BA"/>
    <w:rsid w:val="00BD34BC"/>
    <w:rsid w:val="00C1245C"/>
    <w:rsid w:val="00C205F0"/>
    <w:rsid w:val="00C2316F"/>
    <w:rsid w:val="00C238C3"/>
    <w:rsid w:val="00C30159"/>
    <w:rsid w:val="00C345F2"/>
    <w:rsid w:val="00C43B0F"/>
    <w:rsid w:val="00C45FA1"/>
    <w:rsid w:val="00C55A55"/>
    <w:rsid w:val="00C63CE0"/>
    <w:rsid w:val="00C75F42"/>
    <w:rsid w:val="00C83132"/>
    <w:rsid w:val="00C92373"/>
    <w:rsid w:val="00C96AD0"/>
    <w:rsid w:val="00CA2260"/>
    <w:rsid w:val="00CB21EE"/>
    <w:rsid w:val="00CB30D0"/>
    <w:rsid w:val="00CB748E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555C"/>
    <w:rsid w:val="00D60E22"/>
    <w:rsid w:val="00D61A44"/>
    <w:rsid w:val="00D67008"/>
    <w:rsid w:val="00D818FF"/>
    <w:rsid w:val="00D9400D"/>
    <w:rsid w:val="00DA2360"/>
    <w:rsid w:val="00DA569D"/>
    <w:rsid w:val="00DB0612"/>
    <w:rsid w:val="00DC7D95"/>
    <w:rsid w:val="00DE3DCF"/>
    <w:rsid w:val="00DE7E95"/>
    <w:rsid w:val="00DF2545"/>
    <w:rsid w:val="00E10AB7"/>
    <w:rsid w:val="00E20BAF"/>
    <w:rsid w:val="00E25E77"/>
    <w:rsid w:val="00E3555B"/>
    <w:rsid w:val="00E42B6B"/>
    <w:rsid w:val="00E47B33"/>
    <w:rsid w:val="00E50732"/>
    <w:rsid w:val="00E55B3B"/>
    <w:rsid w:val="00E55F10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144B3"/>
    <w:rsid w:val="00F215D5"/>
    <w:rsid w:val="00F30B55"/>
    <w:rsid w:val="00F3366F"/>
    <w:rsid w:val="00F42D94"/>
    <w:rsid w:val="00F520C3"/>
    <w:rsid w:val="00F57496"/>
    <w:rsid w:val="00F634ED"/>
    <w:rsid w:val="00F851B8"/>
    <w:rsid w:val="00F9376A"/>
    <w:rsid w:val="00F94E08"/>
    <w:rsid w:val="00F96E8C"/>
    <w:rsid w:val="00FA1CD6"/>
    <w:rsid w:val="00FA62C9"/>
    <w:rsid w:val="00FB2B2F"/>
    <w:rsid w:val="00FB7521"/>
    <w:rsid w:val="00FB75BE"/>
    <w:rsid w:val="00FC72C4"/>
    <w:rsid w:val="00FD33BC"/>
    <w:rsid w:val="00FF0D0B"/>
    <w:rsid w:val="00FF0D3B"/>
    <w:rsid w:val="377113D2"/>
    <w:rsid w:val="57F61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0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3D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43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43D0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3D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6E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6EEB"/>
    <w:rPr>
      <w:rFonts w:ascii="Times New Roman" w:eastAsia="宋体" w:hAnsi="Times New Roman" w:cs="Times New Roman"/>
      <w:kern w:val="2"/>
      <w:sz w:val="18"/>
      <w:szCs w:val="18"/>
    </w:rPr>
  </w:style>
  <w:style w:type="table" w:customStyle="1" w:styleId="1">
    <w:name w:val="网格型1"/>
    <w:basedOn w:val="a1"/>
    <w:next w:val="a6"/>
    <w:rsid w:val="00636163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636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217</Words>
  <Characters>1241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蔡娟</dc:creator>
  <cp:lastModifiedBy>Windows 用户</cp:lastModifiedBy>
  <cp:revision>11</cp:revision>
  <cp:lastPrinted>2020-12-11T03:38:00Z</cp:lastPrinted>
  <dcterms:created xsi:type="dcterms:W3CDTF">2020-12-11T01:02:00Z</dcterms:created>
  <dcterms:modified xsi:type="dcterms:W3CDTF">2020-12-14T01:02:00Z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