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Times New Roman" w:hAnsi="Times New Roman" w:eastAsia="方正黑体_GBK" w:cs="宋体"/>
          <w:color w:val="000000"/>
          <w:kern w:val="0"/>
          <w:sz w:val="32"/>
          <w:szCs w:val="32"/>
        </w:rPr>
      </w:pPr>
      <w:r>
        <w:rPr>
          <w:rFonts w:hint="eastAsia" w:ascii="Times New Roman" w:hAnsi="Times New Roman" w:eastAsia="方正黑体_GBK" w:cs="宋体"/>
          <w:color w:val="000000"/>
          <w:kern w:val="0"/>
          <w:sz w:val="32"/>
          <w:szCs w:val="32"/>
        </w:rPr>
        <w:t>附件1</w:t>
      </w:r>
    </w:p>
    <w:p>
      <w:pPr>
        <w:shd w:val="clear" w:color="auto" w:fill="FFFFFF"/>
        <w:snapToGrid w:val="0"/>
        <w:spacing w:line="0" w:lineRule="atLeast"/>
        <w:ind w:firstLine="880" w:firstLineChars="200"/>
        <w:jc w:val="center"/>
        <w:rPr>
          <w:rFonts w:ascii="方正小标宋_GBK" w:hAnsi="Times New Roman" w:eastAsia="方正小标宋_GBK" w:cs="方正小标宋_GBK"/>
          <w:color w:val="000000"/>
          <w:kern w:val="0"/>
          <w:sz w:val="44"/>
          <w:szCs w:val="44"/>
        </w:rPr>
      </w:pPr>
      <w:r>
        <w:rPr>
          <w:rFonts w:hint="eastAsia" w:ascii="方正小标宋_GBK" w:hAnsi="Times New Roman" w:eastAsia="方正小标宋_GBK" w:cs="方正小标宋_GBK"/>
          <w:color w:val="000000"/>
          <w:kern w:val="0"/>
          <w:sz w:val="44"/>
          <w:szCs w:val="44"/>
        </w:rPr>
        <w:t>重庆市第一批“互联网+”医疗服务项目价格表</w:t>
      </w:r>
    </w:p>
    <w:tbl>
      <w:tblPr>
        <w:tblStyle w:val="7"/>
        <w:tblW w:w="12984" w:type="dxa"/>
        <w:tblInd w:w="0" w:type="dxa"/>
        <w:tblLayout w:type="fixed"/>
        <w:tblCellMar>
          <w:top w:w="0" w:type="dxa"/>
          <w:left w:w="108" w:type="dxa"/>
          <w:bottom w:w="0" w:type="dxa"/>
          <w:right w:w="108" w:type="dxa"/>
        </w:tblCellMar>
      </w:tblPr>
      <w:tblGrid>
        <w:gridCol w:w="476"/>
        <w:gridCol w:w="1475"/>
        <w:gridCol w:w="2155"/>
        <w:gridCol w:w="2454"/>
        <w:gridCol w:w="475"/>
        <w:gridCol w:w="478"/>
        <w:gridCol w:w="1280"/>
        <w:gridCol w:w="1976"/>
        <w:gridCol w:w="714"/>
        <w:gridCol w:w="987"/>
        <w:gridCol w:w="514"/>
      </w:tblGrid>
      <w:tr>
        <w:tblPrEx>
          <w:tblCellMar>
            <w:top w:w="0" w:type="dxa"/>
            <w:left w:w="108" w:type="dxa"/>
            <w:bottom w:w="0" w:type="dxa"/>
            <w:right w:w="108" w:type="dxa"/>
          </w:tblCellMar>
        </w:tblPrEx>
        <w:trPr>
          <w:trHeight w:val="960" w:hRule="atLeast"/>
          <w:tblHeader/>
        </w:trPr>
        <w:tc>
          <w:tcPr>
            <w:tcW w:w="4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黑体_GBK" w:cs="宋体"/>
                <w:bCs/>
                <w:color w:val="000000"/>
                <w:kern w:val="0"/>
                <w:sz w:val="24"/>
              </w:rPr>
            </w:pPr>
            <w:r>
              <w:rPr>
                <w:rFonts w:hint="eastAsia" w:ascii="Times New Roman" w:hAnsi="Times New Roman" w:eastAsia="方正黑体_GBK" w:cs="宋体"/>
                <w:bCs/>
                <w:color w:val="000000"/>
                <w:kern w:val="0"/>
                <w:sz w:val="24"/>
              </w:rPr>
              <w:t>序号</w:t>
            </w:r>
          </w:p>
        </w:tc>
        <w:tc>
          <w:tcPr>
            <w:tcW w:w="1475"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黑体_GBK" w:cs="宋体"/>
                <w:bCs/>
                <w:color w:val="000000"/>
                <w:kern w:val="0"/>
                <w:sz w:val="24"/>
              </w:rPr>
            </w:pPr>
            <w:r>
              <w:rPr>
                <w:rFonts w:hint="eastAsia" w:ascii="Times New Roman" w:hAnsi="Times New Roman" w:eastAsia="方正黑体_GBK" w:cs="宋体"/>
                <w:bCs/>
                <w:color w:val="000000"/>
                <w:kern w:val="0"/>
                <w:sz w:val="24"/>
              </w:rPr>
              <w:t>项目编码</w:t>
            </w:r>
          </w:p>
        </w:tc>
        <w:tc>
          <w:tcPr>
            <w:tcW w:w="2155"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黑体_GBK" w:cs="宋体"/>
                <w:bCs/>
                <w:color w:val="000000"/>
                <w:kern w:val="0"/>
                <w:sz w:val="24"/>
              </w:rPr>
            </w:pPr>
            <w:r>
              <w:rPr>
                <w:rFonts w:hint="eastAsia" w:ascii="Times New Roman" w:hAnsi="Times New Roman" w:eastAsia="方正黑体_GBK" w:cs="宋体"/>
                <w:bCs/>
                <w:color w:val="000000"/>
                <w:kern w:val="0"/>
                <w:sz w:val="24"/>
              </w:rPr>
              <w:t>项目名称</w:t>
            </w:r>
          </w:p>
        </w:tc>
        <w:tc>
          <w:tcPr>
            <w:tcW w:w="2454"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黑体_GBK" w:cs="宋体"/>
                <w:bCs/>
                <w:color w:val="000000"/>
                <w:kern w:val="0"/>
                <w:sz w:val="24"/>
              </w:rPr>
            </w:pPr>
            <w:r>
              <w:rPr>
                <w:rFonts w:hint="eastAsia" w:ascii="Times New Roman" w:hAnsi="Times New Roman" w:eastAsia="方正黑体_GBK" w:cs="宋体"/>
                <w:bCs/>
                <w:color w:val="000000"/>
                <w:kern w:val="0"/>
                <w:sz w:val="24"/>
              </w:rPr>
              <w:t>项目内涵</w:t>
            </w:r>
          </w:p>
        </w:tc>
        <w:tc>
          <w:tcPr>
            <w:tcW w:w="47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黑体_GBK" w:cs="宋体"/>
                <w:bCs/>
                <w:color w:val="000000"/>
                <w:kern w:val="0"/>
                <w:sz w:val="24"/>
              </w:rPr>
            </w:pPr>
            <w:r>
              <w:rPr>
                <w:rFonts w:hint="eastAsia" w:ascii="Times New Roman" w:hAnsi="Times New Roman" w:eastAsia="方正黑体_GBK" w:cs="宋体"/>
                <w:bCs/>
                <w:color w:val="000000"/>
                <w:kern w:val="0"/>
                <w:sz w:val="24"/>
              </w:rPr>
              <w:t>除外内容</w:t>
            </w:r>
          </w:p>
        </w:tc>
        <w:tc>
          <w:tcPr>
            <w:tcW w:w="47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黑体_GBK" w:cs="宋体"/>
                <w:bCs/>
                <w:color w:val="000000"/>
                <w:kern w:val="0"/>
                <w:sz w:val="24"/>
              </w:rPr>
            </w:pPr>
            <w:r>
              <w:rPr>
                <w:rFonts w:hint="eastAsia" w:ascii="Times New Roman" w:hAnsi="Times New Roman" w:eastAsia="方正黑体_GBK" w:cs="宋体"/>
                <w:bCs/>
                <w:color w:val="000000"/>
                <w:kern w:val="0"/>
                <w:sz w:val="24"/>
              </w:rPr>
              <w:t>计价单位</w:t>
            </w:r>
          </w:p>
        </w:tc>
        <w:tc>
          <w:tcPr>
            <w:tcW w:w="128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黑体_GBK" w:cs="宋体"/>
                <w:bCs/>
                <w:color w:val="000000"/>
                <w:kern w:val="0"/>
                <w:sz w:val="24"/>
              </w:rPr>
            </w:pPr>
            <w:r>
              <w:rPr>
                <w:rFonts w:hint="eastAsia" w:ascii="Times New Roman" w:hAnsi="Times New Roman" w:eastAsia="方正黑体_GBK" w:cs="宋体"/>
                <w:bCs/>
                <w:color w:val="000000"/>
                <w:kern w:val="0"/>
                <w:sz w:val="24"/>
              </w:rPr>
              <w:t>政府指导价（元）</w:t>
            </w:r>
          </w:p>
        </w:tc>
        <w:tc>
          <w:tcPr>
            <w:tcW w:w="197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黑体_GBK" w:cs="宋体"/>
                <w:bCs/>
                <w:color w:val="000000"/>
                <w:kern w:val="0"/>
                <w:sz w:val="24"/>
              </w:rPr>
            </w:pPr>
            <w:r>
              <w:rPr>
                <w:rFonts w:hint="eastAsia" w:ascii="Times New Roman" w:hAnsi="Times New Roman" w:eastAsia="方正黑体_GBK" w:cs="宋体"/>
                <w:bCs/>
                <w:color w:val="000000"/>
                <w:kern w:val="0"/>
                <w:sz w:val="24"/>
              </w:rPr>
              <w:t>说明</w:t>
            </w:r>
          </w:p>
        </w:tc>
        <w:tc>
          <w:tcPr>
            <w:tcW w:w="71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黑体_GBK" w:cs="宋体"/>
                <w:bCs/>
                <w:color w:val="000000"/>
                <w:kern w:val="0"/>
                <w:sz w:val="24"/>
              </w:rPr>
            </w:pPr>
            <w:r>
              <w:rPr>
                <w:rFonts w:hint="eastAsia" w:ascii="Times New Roman" w:hAnsi="Times New Roman" w:eastAsia="方正黑体_GBK" w:cs="宋体"/>
                <w:bCs/>
                <w:color w:val="000000"/>
                <w:kern w:val="0"/>
                <w:sz w:val="24"/>
              </w:rPr>
              <w:t>医保属性</w:t>
            </w:r>
          </w:p>
        </w:tc>
        <w:tc>
          <w:tcPr>
            <w:tcW w:w="98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黑体_GBK" w:cs="宋体"/>
                <w:bCs/>
                <w:color w:val="000000"/>
                <w:kern w:val="0"/>
                <w:sz w:val="24"/>
              </w:rPr>
            </w:pPr>
            <w:r>
              <w:rPr>
                <w:rFonts w:hint="eastAsia" w:ascii="Times New Roman" w:hAnsi="Times New Roman" w:eastAsia="方正黑体_GBK" w:cs="宋体"/>
                <w:bCs/>
                <w:color w:val="000000"/>
                <w:kern w:val="0"/>
                <w:sz w:val="24"/>
              </w:rPr>
              <w:t>医保结算标准（元）</w:t>
            </w:r>
          </w:p>
        </w:tc>
        <w:tc>
          <w:tcPr>
            <w:tcW w:w="51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黑体_GBK" w:cs="宋体"/>
                <w:bCs/>
                <w:color w:val="000000"/>
                <w:kern w:val="0"/>
                <w:sz w:val="24"/>
              </w:rPr>
            </w:pPr>
            <w:r>
              <w:rPr>
                <w:rFonts w:hint="eastAsia" w:ascii="Times New Roman" w:hAnsi="Times New Roman" w:eastAsia="方正黑体_GBK" w:cs="宋体"/>
                <w:bCs/>
                <w:color w:val="000000"/>
                <w:kern w:val="0"/>
                <w:sz w:val="24"/>
              </w:rPr>
              <w:t>备注</w:t>
            </w:r>
          </w:p>
        </w:tc>
      </w:tr>
      <w:tr>
        <w:tblPrEx>
          <w:tblCellMar>
            <w:top w:w="0" w:type="dxa"/>
            <w:left w:w="108" w:type="dxa"/>
            <w:bottom w:w="0" w:type="dxa"/>
            <w:right w:w="108" w:type="dxa"/>
          </w:tblCellMar>
        </w:tblPrEx>
        <w:trPr>
          <w:trHeight w:val="560" w:hRule="atLeast"/>
        </w:trPr>
        <w:tc>
          <w:tcPr>
            <w:tcW w:w="476"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　</w:t>
            </w:r>
          </w:p>
        </w:tc>
        <w:tc>
          <w:tcPr>
            <w:tcW w:w="147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宋体"/>
                <w:b/>
                <w:bCs/>
                <w:color w:val="000000"/>
                <w:kern w:val="0"/>
                <w:szCs w:val="21"/>
              </w:rPr>
            </w:pPr>
            <w:r>
              <w:rPr>
                <w:rFonts w:hint="eastAsia" w:ascii="Times New Roman" w:hAnsi="Times New Roman" w:eastAsia="方正仿宋_GBK" w:cs="宋体"/>
                <w:b/>
                <w:bCs/>
                <w:color w:val="000000"/>
                <w:kern w:val="0"/>
                <w:szCs w:val="21"/>
              </w:rPr>
              <w:t>1111</w:t>
            </w:r>
          </w:p>
        </w:tc>
        <w:tc>
          <w:tcPr>
            <w:tcW w:w="215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宋体"/>
                <w:b/>
                <w:bCs/>
                <w:color w:val="000000"/>
                <w:kern w:val="0"/>
                <w:sz w:val="24"/>
              </w:rPr>
            </w:pPr>
            <w:r>
              <w:rPr>
                <w:rFonts w:hint="eastAsia" w:ascii="Times New Roman" w:hAnsi="Times New Roman" w:eastAsia="方正仿宋_GBK" w:cs="宋体"/>
                <w:b/>
                <w:bCs/>
                <w:color w:val="000000"/>
                <w:kern w:val="0"/>
                <w:sz w:val="24"/>
              </w:rPr>
              <w:t>“互联网+”医疗服务</w:t>
            </w:r>
          </w:p>
        </w:tc>
        <w:tc>
          <w:tcPr>
            <w:tcW w:w="245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宋体"/>
                <w:b/>
                <w:bCs/>
                <w:color w:val="000000"/>
                <w:kern w:val="0"/>
                <w:sz w:val="28"/>
              </w:rPr>
            </w:pPr>
            <w:r>
              <w:rPr>
                <w:rFonts w:hint="eastAsia" w:ascii="Times New Roman" w:hAnsi="Times New Roman" w:eastAsia="方正仿宋_GBK" w:cs="宋体"/>
                <w:b/>
                <w:bCs/>
                <w:color w:val="000000"/>
                <w:kern w:val="0"/>
                <w:sz w:val="28"/>
              </w:rPr>
              <w:t>　</w:t>
            </w:r>
          </w:p>
        </w:tc>
        <w:tc>
          <w:tcPr>
            <w:tcW w:w="47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cs="宋体"/>
                <w:b/>
                <w:bCs/>
                <w:color w:val="000000"/>
                <w:kern w:val="0"/>
                <w:sz w:val="28"/>
              </w:rPr>
            </w:pPr>
            <w:r>
              <w:rPr>
                <w:rFonts w:hint="eastAsia" w:ascii="Times New Roman" w:hAnsi="Times New Roman" w:eastAsia="方正仿宋_GBK" w:cs="宋体"/>
                <w:b/>
                <w:bCs/>
                <w:color w:val="000000"/>
                <w:kern w:val="0"/>
                <w:sz w:val="28"/>
              </w:rPr>
              <w:t>　</w:t>
            </w:r>
          </w:p>
        </w:tc>
        <w:tc>
          <w:tcPr>
            <w:tcW w:w="4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cs="宋体"/>
                <w:b/>
                <w:bCs/>
                <w:color w:val="000000"/>
                <w:kern w:val="0"/>
                <w:sz w:val="28"/>
              </w:rPr>
            </w:pPr>
            <w:r>
              <w:rPr>
                <w:rFonts w:hint="eastAsia" w:ascii="Times New Roman" w:hAnsi="Times New Roman" w:eastAsia="方正仿宋_GBK" w:cs="宋体"/>
                <w:b/>
                <w:bCs/>
                <w:color w:val="000000"/>
                <w:kern w:val="0"/>
                <w:sz w:val="28"/>
              </w:rPr>
              <w:t>　</w:t>
            </w:r>
          </w:p>
        </w:tc>
        <w:tc>
          <w:tcPr>
            <w:tcW w:w="128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cs="宋体"/>
                <w:b/>
                <w:bCs/>
                <w:color w:val="000000"/>
                <w:kern w:val="0"/>
                <w:sz w:val="28"/>
              </w:rPr>
            </w:pPr>
            <w:r>
              <w:rPr>
                <w:rFonts w:hint="eastAsia" w:ascii="Times New Roman" w:hAnsi="Times New Roman" w:eastAsia="方正仿宋_GBK" w:cs="宋体"/>
                <w:b/>
                <w:bCs/>
                <w:color w:val="000000"/>
                <w:kern w:val="0"/>
                <w:sz w:val="28"/>
              </w:rPr>
              <w:t>　</w:t>
            </w:r>
          </w:p>
        </w:tc>
        <w:tc>
          <w:tcPr>
            <w:tcW w:w="1976"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Times New Roman" w:hAnsi="Times New Roman" w:eastAsia="方正仿宋_GBK" w:cs="宋体"/>
                <w:color w:val="000000"/>
                <w:kern w:val="0"/>
                <w:sz w:val="28"/>
              </w:rPr>
            </w:pPr>
            <w:r>
              <w:rPr>
                <w:rFonts w:hint="eastAsia" w:ascii="Times New Roman" w:hAnsi="Times New Roman" w:eastAsia="方正仿宋_GBK" w:cs="宋体"/>
                <w:color w:val="000000"/>
                <w:kern w:val="0"/>
                <w:sz w:val="28"/>
              </w:rPr>
              <w:t>　</w:t>
            </w:r>
          </w:p>
        </w:tc>
        <w:tc>
          <w:tcPr>
            <w:tcW w:w="714"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　</w:t>
            </w:r>
          </w:p>
        </w:tc>
        <w:tc>
          <w:tcPr>
            <w:tcW w:w="98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　</w:t>
            </w:r>
          </w:p>
        </w:tc>
        <w:tc>
          <w:tcPr>
            <w:tcW w:w="514"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　</w:t>
            </w:r>
          </w:p>
        </w:tc>
      </w:tr>
      <w:tr>
        <w:tblPrEx>
          <w:tblCellMar>
            <w:top w:w="0" w:type="dxa"/>
            <w:left w:w="108" w:type="dxa"/>
            <w:bottom w:w="0" w:type="dxa"/>
            <w:right w:w="108" w:type="dxa"/>
          </w:tblCellMar>
        </w:tblPrEx>
        <w:trPr>
          <w:trHeight w:val="2128" w:hRule="atLeast"/>
        </w:trPr>
        <w:tc>
          <w:tcPr>
            <w:tcW w:w="476"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　</w:t>
            </w:r>
          </w:p>
        </w:tc>
        <w:tc>
          <w:tcPr>
            <w:tcW w:w="147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111101</w:t>
            </w:r>
          </w:p>
        </w:tc>
        <w:tc>
          <w:tcPr>
            <w:tcW w:w="215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互联网复诊</w:t>
            </w:r>
          </w:p>
        </w:tc>
        <w:tc>
          <w:tcPr>
            <w:tcW w:w="245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　</w:t>
            </w:r>
          </w:p>
        </w:tc>
        <w:tc>
          <w:tcPr>
            <w:tcW w:w="47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　</w:t>
            </w:r>
          </w:p>
        </w:tc>
        <w:tc>
          <w:tcPr>
            <w:tcW w:w="47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　</w:t>
            </w:r>
          </w:p>
        </w:tc>
        <w:tc>
          <w:tcPr>
            <w:tcW w:w="12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　</w:t>
            </w:r>
          </w:p>
        </w:tc>
        <w:tc>
          <w:tcPr>
            <w:tcW w:w="1976" w:type="dxa"/>
            <w:tcBorders>
              <w:top w:val="nil"/>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方正仿宋_GBK" w:cs="宋体"/>
                <w:color w:val="000000"/>
                <w:w w:val="80"/>
                <w:kern w:val="0"/>
                <w:szCs w:val="21"/>
              </w:rPr>
            </w:pPr>
            <w:r>
              <w:rPr>
                <w:rFonts w:hint="eastAsia" w:ascii="Times New Roman" w:hAnsi="Times New Roman" w:eastAsia="方正仿宋_GBK" w:cs="宋体"/>
                <w:color w:val="000000"/>
                <w:kern w:val="0"/>
                <w:szCs w:val="21"/>
              </w:rPr>
              <w:t>按提供服务医疗机构类别收费，不区分医生职级。限实体医疗机构第二名称的互联网医院以及依托实体医疗机构独立设置的互联网医院收取。不得用于首诊。</w:t>
            </w:r>
          </w:p>
        </w:tc>
        <w:tc>
          <w:tcPr>
            <w:tcW w:w="714"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　</w:t>
            </w:r>
          </w:p>
        </w:tc>
        <w:tc>
          <w:tcPr>
            <w:tcW w:w="98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　</w:t>
            </w:r>
          </w:p>
        </w:tc>
        <w:tc>
          <w:tcPr>
            <w:tcW w:w="514"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　</w:t>
            </w:r>
          </w:p>
        </w:tc>
      </w:tr>
      <w:tr>
        <w:tblPrEx>
          <w:tblCellMar>
            <w:top w:w="0" w:type="dxa"/>
            <w:left w:w="108" w:type="dxa"/>
            <w:bottom w:w="0" w:type="dxa"/>
            <w:right w:w="108" w:type="dxa"/>
          </w:tblCellMar>
        </w:tblPrEx>
        <w:trPr>
          <w:trHeight w:val="623" w:hRule="atLeast"/>
        </w:trPr>
        <w:tc>
          <w:tcPr>
            <w:tcW w:w="476"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1</w:t>
            </w:r>
          </w:p>
        </w:tc>
        <w:tc>
          <w:tcPr>
            <w:tcW w:w="147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111101001</w:t>
            </w:r>
          </w:p>
        </w:tc>
        <w:tc>
          <w:tcPr>
            <w:tcW w:w="215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互联网复诊费</w:t>
            </w:r>
          </w:p>
        </w:tc>
        <w:tc>
          <w:tcPr>
            <w:tcW w:w="2454" w:type="dxa"/>
            <w:tcBorders>
              <w:top w:val="nil"/>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方正仿宋_GBK" w:cs="宋体"/>
                <w:color w:val="000000"/>
                <w:w w:val="90"/>
                <w:kern w:val="0"/>
                <w:szCs w:val="21"/>
              </w:rPr>
            </w:pPr>
            <w:r>
              <w:rPr>
                <w:rFonts w:hint="eastAsia" w:ascii="Times New Roman" w:hAnsi="Times New Roman" w:eastAsia="方正仿宋_GBK" w:cs="宋体"/>
                <w:color w:val="000000"/>
                <w:kern w:val="0"/>
                <w:szCs w:val="21"/>
              </w:rPr>
              <w:t>指医疗机构通过互联网诊疗服务信息系统，由具有3年以上独立临床工作经验的医师直接向患者提供的常见病、慢性病复诊诊疗服务。在线问诊，查看检验检查结果等相关医疗图文信息，记录病情，提供诊疗建议，如提供治疗方案或开具处方。</w:t>
            </w:r>
          </w:p>
        </w:tc>
        <w:tc>
          <w:tcPr>
            <w:tcW w:w="47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　</w:t>
            </w:r>
          </w:p>
        </w:tc>
        <w:tc>
          <w:tcPr>
            <w:tcW w:w="47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次</w:t>
            </w:r>
          </w:p>
        </w:tc>
        <w:tc>
          <w:tcPr>
            <w:tcW w:w="128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　</w:t>
            </w:r>
          </w:p>
        </w:tc>
        <w:tc>
          <w:tcPr>
            <w:tcW w:w="197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　</w:t>
            </w:r>
          </w:p>
        </w:tc>
        <w:tc>
          <w:tcPr>
            <w:tcW w:w="71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甲</w:t>
            </w:r>
          </w:p>
        </w:tc>
        <w:tc>
          <w:tcPr>
            <w:tcW w:w="98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　</w:t>
            </w:r>
          </w:p>
        </w:tc>
        <w:tc>
          <w:tcPr>
            <w:tcW w:w="51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　</w:t>
            </w:r>
          </w:p>
        </w:tc>
      </w:tr>
      <w:tr>
        <w:tblPrEx>
          <w:tblCellMar>
            <w:top w:w="0" w:type="dxa"/>
            <w:left w:w="108" w:type="dxa"/>
            <w:bottom w:w="0" w:type="dxa"/>
            <w:right w:w="108" w:type="dxa"/>
          </w:tblCellMar>
        </w:tblPrEx>
        <w:trPr>
          <w:trHeight w:val="560" w:hRule="atLeast"/>
        </w:trPr>
        <w:tc>
          <w:tcPr>
            <w:tcW w:w="476"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　</w:t>
            </w:r>
          </w:p>
        </w:tc>
        <w:tc>
          <w:tcPr>
            <w:tcW w:w="147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111101001.10</w:t>
            </w:r>
          </w:p>
        </w:tc>
        <w:tc>
          <w:tcPr>
            <w:tcW w:w="215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互联网复诊费</w:t>
            </w:r>
          </w:p>
          <w:p>
            <w:pPr>
              <w:widowControl/>
              <w:spacing w:line="26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（一级医院）</w:t>
            </w:r>
          </w:p>
        </w:tc>
        <w:tc>
          <w:tcPr>
            <w:tcW w:w="245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　</w:t>
            </w:r>
          </w:p>
        </w:tc>
        <w:tc>
          <w:tcPr>
            <w:tcW w:w="47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　</w:t>
            </w:r>
          </w:p>
        </w:tc>
        <w:tc>
          <w:tcPr>
            <w:tcW w:w="47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次</w:t>
            </w:r>
          </w:p>
        </w:tc>
        <w:tc>
          <w:tcPr>
            <w:tcW w:w="128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6</w:t>
            </w:r>
          </w:p>
        </w:tc>
        <w:tc>
          <w:tcPr>
            <w:tcW w:w="197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　</w:t>
            </w:r>
          </w:p>
        </w:tc>
        <w:tc>
          <w:tcPr>
            <w:tcW w:w="714" w:type="dxa"/>
            <w:tcBorders>
              <w:top w:val="single" w:color="auto" w:sz="4" w:space="0"/>
              <w:left w:val="nil"/>
              <w:bottom w:val="single" w:color="auto" w:sz="4" w:space="0"/>
              <w:right w:val="single" w:color="auto" w:sz="4" w:space="0"/>
            </w:tcBorders>
            <w:shd w:val="clear" w:color="000000" w:fill="auto"/>
            <w:vAlign w:val="center"/>
          </w:tcPr>
          <w:p>
            <w:pPr>
              <w:widowControl/>
              <w:spacing w:line="300" w:lineRule="exact"/>
              <w:jc w:val="center"/>
              <w:rPr>
                <w:rFonts w:ascii="Times New Roman" w:hAnsi="Times New Roman" w:eastAsia="方正仿宋_GBK" w:cs="宋体"/>
                <w:color w:val="000000" w:themeColor="text1"/>
                <w:kern w:val="0"/>
                <w:szCs w:val="21"/>
              </w:rPr>
            </w:pPr>
          </w:p>
        </w:tc>
        <w:tc>
          <w:tcPr>
            <w:tcW w:w="987" w:type="dxa"/>
            <w:tcBorders>
              <w:top w:val="single" w:color="auto" w:sz="4" w:space="0"/>
              <w:left w:val="nil"/>
              <w:bottom w:val="single" w:color="auto" w:sz="4" w:space="0"/>
              <w:right w:val="single" w:color="auto" w:sz="4" w:space="0"/>
            </w:tcBorders>
            <w:shd w:val="clear" w:color="000000" w:fill="auto"/>
            <w:vAlign w:val="center"/>
          </w:tcPr>
          <w:p>
            <w:pPr>
              <w:widowControl/>
              <w:spacing w:line="300" w:lineRule="exact"/>
              <w:jc w:val="center"/>
              <w:rPr>
                <w:rFonts w:ascii="Times New Roman" w:hAnsi="Times New Roman" w:eastAsia="方正仿宋_GBK" w:cs="宋体"/>
                <w:color w:val="000000" w:themeColor="text1"/>
                <w:kern w:val="0"/>
                <w:szCs w:val="21"/>
              </w:rPr>
            </w:pPr>
            <w:r>
              <w:rPr>
                <w:rFonts w:hint="eastAsia" w:ascii="Times New Roman" w:hAnsi="Times New Roman" w:eastAsia="方正仿宋_GBK" w:cs="宋体"/>
                <w:color w:val="000000" w:themeColor="text1"/>
                <w:kern w:val="0"/>
                <w:szCs w:val="21"/>
              </w:rPr>
              <w:t>5</w:t>
            </w:r>
          </w:p>
        </w:tc>
        <w:tc>
          <w:tcPr>
            <w:tcW w:w="51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　</w:t>
            </w:r>
          </w:p>
        </w:tc>
      </w:tr>
      <w:tr>
        <w:tblPrEx>
          <w:tblCellMar>
            <w:top w:w="0" w:type="dxa"/>
            <w:left w:w="108" w:type="dxa"/>
            <w:bottom w:w="0" w:type="dxa"/>
            <w:right w:w="108" w:type="dxa"/>
          </w:tblCellMar>
        </w:tblPrEx>
        <w:trPr>
          <w:trHeight w:val="560" w:hRule="atLeast"/>
        </w:trPr>
        <w:tc>
          <w:tcPr>
            <w:tcW w:w="476"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　</w:t>
            </w:r>
          </w:p>
        </w:tc>
        <w:tc>
          <w:tcPr>
            <w:tcW w:w="147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111101001.20</w:t>
            </w:r>
          </w:p>
        </w:tc>
        <w:tc>
          <w:tcPr>
            <w:tcW w:w="215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互联网复诊费</w:t>
            </w:r>
          </w:p>
          <w:p>
            <w:pPr>
              <w:widowControl/>
              <w:spacing w:line="26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（二级医院）</w:t>
            </w:r>
          </w:p>
        </w:tc>
        <w:tc>
          <w:tcPr>
            <w:tcW w:w="245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　</w:t>
            </w:r>
          </w:p>
        </w:tc>
        <w:tc>
          <w:tcPr>
            <w:tcW w:w="47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　</w:t>
            </w:r>
          </w:p>
        </w:tc>
        <w:tc>
          <w:tcPr>
            <w:tcW w:w="47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次</w:t>
            </w:r>
          </w:p>
        </w:tc>
        <w:tc>
          <w:tcPr>
            <w:tcW w:w="128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9</w:t>
            </w:r>
          </w:p>
        </w:tc>
        <w:tc>
          <w:tcPr>
            <w:tcW w:w="197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　</w:t>
            </w:r>
          </w:p>
        </w:tc>
        <w:tc>
          <w:tcPr>
            <w:tcW w:w="714" w:type="dxa"/>
            <w:tcBorders>
              <w:top w:val="single" w:color="auto" w:sz="4" w:space="0"/>
              <w:left w:val="nil"/>
              <w:bottom w:val="single" w:color="auto" w:sz="4" w:space="0"/>
              <w:right w:val="single" w:color="auto" w:sz="4" w:space="0"/>
            </w:tcBorders>
            <w:shd w:val="clear" w:color="000000" w:fill="auto"/>
            <w:vAlign w:val="center"/>
          </w:tcPr>
          <w:p>
            <w:pPr>
              <w:widowControl/>
              <w:spacing w:line="300" w:lineRule="exact"/>
              <w:jc w:val="center"/>
              <w:rPr>
                <w:rFonts w:ascii="Times New Roman" w:hAnsi="Times New Roman" w:eastAsia="方正仿宋_GBK" w:cs="宋体"/>
                <w:color w:val="000000" w:themeColor="text1"/>
                <w:kern w:val="0"/>
                <w:szCs w:val="21"/>
              </w:rPr>
            </w:pPr>
          </w:p>
        </w:tc>
        <w:tc>
          <w:tcPr>
            <w:tcW w:w="987" w:type="dxa"/>
            <w:tcBorders>
              <w:top w:val="single" w:color="auto" w:sz="4" w:space="0"/>
              <w:left w:val="nil"/>
              <w:bottom w:val="single" w:color="auto" w:sz="4" w:space="0"/>
              <w:right w:val="single" w:color="auto" w:sz="4" w:space="0"/>
            </w:tcBorders>
            <w:shd w:val="clear" w:color="000000" w:fill="auto"/>
            <w:vAlign w:val="center"/>
          </w:tcPr>
          <w:p>
            <w:pPr>
              <w:widowControl/>
              <w:spacing w:line="300" w:lineRule="exact"/>
              <w:jc w:val="center"/>
              <w:rPr>
                <w:rFonts w:ascii="Times New Roman" w:hAnsi="Times New Roman" w:eastAsia="方正仿宋_GBK" w:cs="宋体"/>
                <w:color w:val="000000" w:themeColor="text1"/>
                <w:kern w:val="0"/>
                <w:szCs w:val="21"/>
              </w:rPr>
            </w:pPr>
            <w:r>
              <w:rPr>
                <w:rFonts w:hint="eastAsia" w:ascii="Times New Roman" w:hAnsi="Times New Roman" w:eastAsia="方正仿宋_GBK" w:cs="宋体"/>
                <w:color w:val="000000" w:themeColor="text1"/>
                <w:kern w:val="0"/>
                <w:szCs w:val="21"/>
              </w:rPr>
              <w:t>7</w:t>
            </w:r>
          </w:p>
        </w:tc>
        <w:tc>
          <w:tcPr>
            <w:tcW w:w="51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　</w:t>
            </w:r>
          </w:p>
        </w:tc>
      </w:tr>
      <w:tr>
        <w:tblPrEx>
          <w:tblCellMar>
            <w:top w:w="0" w:type="dxa"/>
            <w:left w:w="108" w:type="dxa"/>
            <w:bottom w:w="0" w:type="dxa"/>
            <w:right w:w="108" w:type="dxa"/>
          </w:tblCellMar>
        </w:tblPrEx>
        <w:trPr>
          <w:trHeight w:val="560" w:hRule="atLeast"/>
        </w:trPr>
        <w:tc>
          <w:tcPr>
            <w:tcW w:w="476"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　</w:t>
            </w:r>
          </w:p>
        </w:tc>
        <w:tc>
          <w:tcPr>
            <w:tcW w:w="147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111101001.30</w:t>
            </w:r>
          </w:p>
        </w:tc>
        <w:tc>
          <w:tcPr>
            <w:tcW w:w="215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互联网复诊费</w:t>
            </w:r>
          </w:p>
          <w:p>
            <w:pPr>
              <w:widowControl/>
              <w:spacing w:line="26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（三级医院）</w:t>
            </w:r>
          </w:p>
        </w:tc>
        <w:tc>
          <w:tcPr>
            <w:tcW w:w="245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　</w:t>
            </w:r>
          </w:p>
        </w:tc>
        <w:tc>
          <w:tcPr>
            <w:tcW w:w="47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　</w:t>
            </w:r>
          </w:p>
        </w:tc>
        <w:tc>
          <w:tcPr>
            <w:tcW w:w="47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次</w:t>
            </w:r>
          </w:p>
        </w:tc>
        <w:tc>
          <w:tcPr>
            <w:tcW w:w="128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15</w:t>
            </w:r>
          </w:p>
        </w:tc>
        <w:tc>
          <w:tcPr>
            <w:tcW w:w="197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　</w:t>
            </w:r>
          </w:p>
        </w:tc>
        <w:tc>
          <w:tcPr>
            <w:tcW w:w="714" w:type="dxa"/>
            <w:tcBorders>
              <w:top w:val="single" w:color="auto" w:sz="4" w:space="0"/>
              <w:left w:val="nil"/>
              <w:bottom w:val="single" w:color="auto" w:sz="4" w:space="0"/>
              <w:right w:val="single" w:color="auto" w:sz="4" w:space="0"/>
            </w:tcBorders>
            <w:shd w:val="clear" w:color="000000" w:fill="auto"/>
            <w:vAlign w:val="center"/>
          </w:tcPr>
          <w:p>
            <w:pPr>
              <w:widowControl/>
              <w:spacing w:line="300" w:lineRule="exact"/>
              <w:jc w:val="center"/>
              <w:rPr>
                <w:rFonts w:ascii="Times New Roman" w:hAnsi="Times New Roman" w:eastAsia="方正仿宋_GBK" w:cs="宋体"/>
                <w:color w:val="000000" w:themeColor="text1"/>
                <w:kern w:val="0"/>
                <w:szCs w:val="21"/>
              </w:rPr>
            </w:pPr>
          </w:p>
        </w:tc>
        <w:tc>
          <w:tcPr>
            <w:tcW w:w="987" w:type="dxa"/>
            <w:tcBorders>
              <w:top w:val="single" w:color="auto" w:sz="4" w:space="0"/>
              <w:left w:val="nil"/>
              <w:bottom w:val="single" w:color="auto" w:sz="4" w:space="0"/>
              <w:right w:val="single" w:color="auto" w:sz="4" w:space="0"/>
            </w:tcBorders>
            <w:shd w:val="clear" w:color="000000" w:fill="auto"/>
            <w:vAlign w:val="center"/>
          </w:tcPr>
          <w:p>
            <w:pPr>
              <w:widowControl/>
              <w:spacing w:line="300" w:lineRule="exact"/>
              <w:jc w:val="center"/>
              <w:rPr>
                <w:rFonts w:ascii="Times New Roman" w:hAnsi="Times New Roman" w:eastAsia="方正仿宋_GBK" w:cs="宋体"/>
                <w:color w:val="000000" w:themeColor="text1"/>
                <w:kern w:val="0"/>
                <w:szCs w:val="21"/>
              </w:rPr>
            </w:pPr>
            <w:r>
              <w:rPr>
                <w:rFonts w:hint="eastAsia" w:ascii="Times New Roman" w:hAnsi="Times New Roman" w:eastAsia="方正仿宋_GBK" w:cs="宋体"/>
                <w:color w:val="000000" w:themeColor="text1"/>
                <w:kern w:val="0"/>
                <w:szCs w:val="21"/>
              </w:rPr>
              <w:t>10</w:t>
            </w:r>
          </w:p>
        </w:tc>
        <w:tc>
          <w:tcPr>
            <w:tcW w:w="51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　</w:t>
            </w:r>
          </w:p>
        </w:tc>
      </w:tr>
      <w:tr>
        <w:tblPrEx>
          <w:tblCellMar>
            <w:top w:w="0" w:type="dxa"/>
            <w:left w:w="108" w:type="dxa"/>
            <w:bottom w:w="0" w:type="dxa"/>
            <w:right w:w="108" w:type="dxa"/>
          </w:tblCellMar>
        </w:tblPrEx>
        <w:trPr>
          <w:trHeight w:val="907" w:hRule="atLeast"/>
        </w:trPr>
        <w:tc>
          <w:tcPr>
            <w:tcW w:w="476"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　</w:t>
            </w:r>
          </w:p>
        </w:tc>
        <w:tc>
          <w:tcPr>
            <w:tcW w:w="147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111102</w:t>
            </w:r>
          </w:p>
        </w:tc>
        <w:tc>
          <w:tcPr>
            <w:tcW w:w="215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宋体"/>
                <w:b/>
                <w:bCs/>
                <w:color w:val="000000"/>
                <w:kern w:val="0"/>
                <w:sz w:val="24"/>
              </w:rPr>
            </w:pPr>
            <w:r>
              <w:rPr>
                <w:rFonts w:hint="eastAsia" w:ascii="Times New Roman" w:hAnsi="Times New Roman" w:eastAsia="方正仿宋_GBK" w:cs="宋体"/>
                <w:b/>
                <w:bCs/>
                <w:color w:val="000000"/>
                <w:kern w:val="0"/>
                <w:sz w:val="24"/>
              </w:rPr>
              <w:t>远程会诊</w:t>
            </w:r>
          </w:p>
        </w:tc>
        <w:tc>
          <w:tcPr>
            <w:tcW w:w="245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方正仿宋_GBK" w:cs="宋体"/>
                <w:color w:val="000000"/>
                <w:kern w:val="0"/>
                <w:sz w:val="28"/>
              </w:rPr>
            </w:pPr>
            <w:r>
              <w:rPr>
                <w:rFonts w:hint="eastAsia" w:ascii="Times New Roman" w:hAnsi="Times New Roman" w:eastAsia="方正仿宋_GBK" w:cs="宋体"/>
                <w:color w:val="000000"/>
                <w:kern w:val="0"/>
                <w:sz w:val="28"/>
              </w:rPr>
              <w:t>　</w:t>
            </w:r>
          </w:p>
        </w:tc>
        <w:tc>
          <w:tcPr>
            <w:tcW w:w="47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cs="宋体"/>
                <w:color w:val="000000"/>
                <w:kern w:val="0"/>
                <w:sz w:val="28"/>
              </w:rPr>
            </w:pPr>
            <w:r>
              <w:rPr>
                <w:rFonts w:hint="eastAsia" w:ascii="Times New Roman" w:hAnsi="Times New Roman" w:eastAsia="方正仿宋_GBK" w:cs="宋体"/>
                <w:color w:val="000000"/>
                <w:kern w:val="0"/>
                <w:sz w:val="28"/>
              </w:rPr>
              <w:t>　</w:t>
            </w:r>
          </w:p>
        </w:tc>
        <w:tc>
          <w:tcPr>
            <w:tcW w:w="4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cs="宋体"/>
                <w:color w:val="000000"/>
                <w:kern w:val="0"/>
                <w:sz w:val="28"/>
              </w:rPr>
            </w:pPr>
            <w:r>
              <w:rPr>
                <w:rFonts w:hint="eastAsia" w:ascii="Times New Roman" w:hAnsi="Times New Roman" w:eastAsia="方正仿宋_GBK" w:cs="宋体"/>
                <w:color w:val="000000"/>
                <w:kern w:val="0"/>
                <w:sz w:val="28"/>
              </w:rPr>
              <w:t>　</w:t>
            </w:r>
          </w:p>
        </w:tc>
        <w:tc>
          <w:tcPr>
            <w:tcW w:w="128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cs="宋体"/>
                <w:color w:val="000000"/>
                <w:kern w:val="0"/>
                <w:sz w:val="28"/>
              </w:rPr>
            </w:pPr>
            <w:r>
              <w:rPr>
                <w:rFonts w:hint="eastAsia" w:ascii="Times New Roman" w:hAnsi="Times New Roman" w:eastAsia="方正仿宋_GBK" w:cs="宋体"/>
                <w:color w:val="000000"/>
                <w:kern w:val="0"/>
                <w:sz w:val="28"/>
              </w:rPr>
              <w:t>　</w:t>
            </w:r>
          </w:p>
        </w:tc>
        <w:tc>
          <w:tcPr>
            <w:tcW w:w="1976" w:type="dxa"/>
            <w:tcBorders>
              <w:top w:val="nil"/>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方正仿宋_GBK" w:cs="宋体"/>
                <w:color w:val="000000"/>
                <w:w w:val="90"/>
                <w:kern w:val="0"/>
                <w:sz w:val="24"/>
              </w:rPr>
            </w:pPr>
            <w:r>
              <w:rPr>
                <w:rFonts w:hint="eastAsia" w:ascii="Times New Roman" w:hAnsi="Times New Roman" w:eastAsia="方正仿宋_GBK" w:cs="宋体"/>
                <w:color w:val="000000"/>
                <w:kern w:val="0"/>
                <w:szCs w:val="21"/>
              </w:rPr>
              <w:t>按受邀方医疗机构类别收费。邀请方应当根据患者的病情和意愿组织远程会诊服务，并向患者说明远程会诊服务内容、费用等情况，征得患者书面同意，签署远程会诊服务知情同意书。受邀方为二级及以上医疗机构，参加会诊人员为副主任医师以上医生。</w:t>
            </w:r>
          </w:p>
        </w:tc>
        <w:tc>
          <w:tcPr>
            <w:tcW w:w="714"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　</w:t>
            </w:r>
          </w:p>
        </w:tc>
        <w:tc>
          <w:tcPr>
            <w:tcW w:w="98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　</w:t>
            </w:r>
          </w:p>
        </w:tc>
        <w:tc>
          <w:tcPr>
            <w:tcW w:w="514"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　</w:t>
            </w:r>
          </w:p>
        </w:tc>
      </w:tr>
      <w:tr>
        <w:tblPrEx>
          <w:tblCellMar>
            <w:top w:w="0" w:type="dxa"/>
            <w:left w:w="108" w:type="dxa"/>
            <w:bottom w:w="0" w:type="dxa"/>
            <w:right w:w="108" w:type="dxa"/>
          </w:tblCellMar>
        </w:tblPrEx>
        <w:trPr>
          <w:trHeight w:val="1680" w:hRule="atLeast"/>
        </w:trPr>
        <w:tc>
          <w:tcPr>
            <w:tcW w:w="476"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2</w:t>
            </w:r>
          </w:p>
        </w:tc>
        <w:tc>
          <w:tcPr>
            <w:tcW w:w="147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111102001</w:t>
            </w:r>
          </w:p>
        </w:tc>
        <w:tc>
          <w:tcPr>
            <w:tcW w:w="215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远程单学科会诊</w:t>
            </w:r>
          </w:p>
        </w:tc>
        <w:tc>
          <w:tcPr>
            <w:tcW w:w="2454" w:type="dxa"/>
            <w:tcBorders>
              <w:top w:val="nil"/>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指单个学科会诊。开通远程医疗网络系统，邀请方医疗机构向受邀方医疗机构提供医学资料，双方通过视频交互方式对患者的病情进行的单学科会诊，受邀方将诊疗意见告知邀请方，并出具由相关医师签名的诊疗意见报告。邀请方根据患者临床资料，参考受邀方的诊疗意见，决定诊断与治疗方案。</w:t>
            </w:r>
          </w:p>
        </w:tc>
        <w:tc>
          <w:tcPr>
            <w:tcW w:w="47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　</w:t>
            </w:r>
          </w:p>
        </w:tc>
        <w:tc>
          <w:tcPr>
            <w:tcW w:w="4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次</w:t>
            </w:r>
          </w:p>
        </w:tc>
        <w:tc>
          <w:tcPr>
            <w:tcW w:w="128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300</w:t>
            </w:r>
          </w:p>
        </w:tc>
        <w:tc>
          <w:tcPr>
            <w:tcW w:w="1976"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Times New Roman" w:hAnsi="Times New Roman" w:eastAsia="方正仿宋_GBK" w:cs="宋体"/>
                <w:i/>
                <w:iCs/>
                <w:color w:val="000000"/>
                <w:kern w:val="0"/>
                <w:szCs w:val="21"/>
              </w:rPr>
            </w:pPr>
            <w:r>
              <w:rPr>
                <w:rFonts w:hint="eastAsia" w:ascii="Times New Roman" w:hAnsi="Times New Roman" w:eastAsia="方正仿宋_GBK" w:cs="宋体"/>
                <w:i/>
                <w:iCs/>
                <w:color w:val="000000"/>
                <w:kern w:val="0"/>
                <w:szCs w:val="21"/>
              </w:rPr>
              <w:t>　</w:t>
            </w:r>
          </w:p>
        </w:tc>
        <w:tc>
          <w:tcPr>
            <w:tcW w:w="714"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乙</w:t>
            </w:r>
          </w:p>
        </w:tc>
        <w:tc>
          <w:tcPr>
            <w:tcW w:w="98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300</w:t>
            </w:r>
          </w:p>
        </w:tc>
        <w:tc>
          <w:tcPr>
            <w:tcW w:w="514"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　</w:t>
            </w:r>
          </w:p>
        </w:tc>
      </w:tr>
      <w:tr>
        <w:tblPrEx>
          <w:tblCellMar>
            <w:top w:w="0" w:type="dxa"/>
            <w:left w:w="108" w:type="dxa"/>
            <w:bottom w:w="0" w:type="dxa"/>
            <w:right w:w="108" w:type="dxa"/>
          </w:tblCellMar>
        </w:tblPrEx>
        <w:trPr>
          <w:trHeight w:val="1960" w:hRule="atLeast"/>
        </w:trPr>
        <w:tc>
          <w:tcPr>
            <w:tcW w:w="476"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3</w:t>
            </w:r>
          </w:p>
        </w:tc>
        <w:tc>
          <w:tcPr>
            <w:tcW w:w="147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111102002</w:t>
            </w:r>
          </w:p>
        </w:tc>
        <w:tc>
          <w:tcPr>
            <w:tcW w:w="215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远程多学科会诊</w:t>
            </w:r>
          </w:p>
        </w:tc>
        <w:tc>
          <w:tcPr>
            <w:tcW w:w="2454" w:type="dxa"/>
            <w:tcBorders>
              <w:top w:val="nil"/>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指多个学科（至少2个学科）会诊。开通远程医疗网络系统，邀请方医疗机构向受邀方医疗机构提供医学资料，双方通过视频交互方式对患者的病情进行的多学科会诊，受邀方将诊疗意见告知邀请方，并出具由相关医师签名的诊疗意见报告。邀请方根据患者临床资料，参考受邀方的诊疗意见，决定诊断与治疗方案。</w:t>
            </w:r>
          </w:p>
        </w:tc>
        <w:tc>
          <w:tcPr>
            <w:tcW w:w="47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　</w:t>
            </w:r>
          </w:p>
        </w:tc>
        <w:tc>
          <w:tcPr>
            <w:tcW w:w="4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次</w:t>
            </w:r>
          </w:p>
        </w:tc>
        <w:tc>
          <w:tcPr>
            <w:tcW w:w="128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540</w:t>
            </w:r>
          </w:p>
        </w:tc>
        <w:tc>
          <w:tcPr>
            <w:tcW w:w="1976"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　</w:t>
            </w:r>
          </w:p>
        </w:tc>
        <w:tc>
          <w:tcPr>
            <w:tcW w:w="714"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乙</w:t>
            </w:r>
          </w:p>
        </w:tc>
        <w:tc>
          <w:tcPr>
            <w:tcW w:w="98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540</w:t>
            </w:r>
          </w:p>
        </w:tc>
        <w:tc>
          <w:tcPr>
            <w:tcW w:w="514"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　</w:t>
            </w:r>
          </w:p>
        </w:tc>
      </w:tr>
      <w:tr>
        <w:tblPrEx>
          <w:tblCellMar>
            <w:top w:w="0" w:type="dxa"/>
            <w:left w:w="108" w:type="dxa"/>
            <w:bottom w:w="0" w:type="dxa"/>
            <w:right w:w="108" w:type="dxa"/>
          </w:tblCellMar>
        </w:tblPrEx>
        <w:trPr>
          <w:trHeight w:val="6151" w:hRule="atLeast"/>
        </w:trPr>
        <w:tc>
          <w:tcPr>
            <w:tcW w:w="476"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4</w:t>
            </w:r>
          </w:p>
        </w:tc>
        <w:tc>
          <w:tcPr>
            <w:tcW w:w="147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111102003</w:t>
            </w:r>
          </w:p>
        </w:tc>
        <w:tc>
          <w:tcPr>
            <w:tcW w:w="215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同步远程病理会诊</w:t>
            </w:r>
          </w:p>
        </w:tc>
        <w:tc>
          <w:tcPr>
            <w:tcW w:w="2454" w:type="dxa"/>
            <w:tcBorders>
              <w:top w:val="nil"/>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指临床病理实时会诊。由高级职称病理医师主持的专家组会诊。开通远程医疗网络系统，邀请方医疗机构向受邀方医疗机构提供实时的临床及病理资料，双方通过视频交互方式对患者的病情进行会诊，受邀方将诊疗意见告知邀请方，并出具由相关医师签名的诊疗意见报告。邀请方参考受邀方的诊疗意见，决定诊断与治疗方案。</w:t>
            </w:r>
          </w:p>
        </w:tc>
        <w:tc>
          <w:tcPr>
            <w:tcW w:w="47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　</w:t>
            </w:r>
          </w:p>
        </w:tc>
        <w:tc>
          <w:tcPr>
            <w:tcW w:w="4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次</w:t>
            </w:r>
          </w:p>
        </w:tc>
        <w:tc>
          <w:tcPr>
            <w:tcW w:w="128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540</w:t>
            </w:r>
          </w:p>
        </w:tc>
        <w:tc>
          <w:tcPr>
            <w:tcW w:w="1976"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　</w:t>
            </w:r>
          </w:p>
        </w:tc>
        <w:tc>
          <w:tcPr>
            <w:tcW w:w="714"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　乙</w:t>
            </w:r>
          </w:p>
        </w:tc>
        <w:tc>
          <w:tcPr>
            <w:tcW w:w="98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540</w:t>
            </w:r>
          </w:p>
        </w:tc>
        <w:tc>
          <w:tcPr>
            <w:tcW w:w="514"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　</w:t>
            </w:r>
          </w:p>
        </w:tc>
      </w:tr>
      <w:tr>
        <w:tblPrEx>
          <w:tblCellMar>
            <w:top w:w="0" w:type="dxa"/>
            <w:left w:w="108" w:type="dxa"/>
            <w:bottom w:w="0" w:type="dxa"/>
            <w:right w:w="108" w:type="dxa"/>
          </w:tblCellMar>
        </w:tblPrEx>
        <w:trPr>
          <w:trHeight w:val="1190" w:hRule="atLeast"/>
        </w:trPr>
        <w:tc>
          <w:tcPr>
            <w:tcW w:w="476"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5</w:t>
            </w:r>
          </w:p>
        </w:tc>
        <w:tc>
          <w:tcPr>
            <w:tcW w:w="147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111102004</w:t>
            </w:r>
          </w:p>
        </w:tc>
        <w:tc>
          <w:tcPr>
            <w:tcW w:w="215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非同步远程病理会诊</w:t>
            </w:r>
          </w:p>
        </w:tc>
        <w:tc>
          <w:tcPr>
            <w:tcW w:w="2454" w:type="dxa"/>
            <w:tcBorders>
              <w:top w:val="nil"/>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指临床病理非实时会诊。由高级职称病理医师主持的专家组会诊。开通远程医疗网络系统，邀请方医疗机构向受邀方医疗机构提供提供非实时的临床及病理资料，双方通过视频交互方式对患者的病情进行会诊，受邀方将诊疗意见告知邀请方，并出具由相关医师签名的诊疗意见报告。邀请方参考受邀方的诊疗意见，决定诊断与治疗方案。</w:t>
            </w:r>
          </w:p>
        </w:tc>
        <w:tc>
          <w:tcPr>
            <w:tcW w:w="47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　</w:t>
            </w:r>
          </w:p>
        </w:tc>
        <w:tc>
          <w:tcPr>
            <w:tcW w:w="4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次</w:t>
            </w:r>
          </w:p>
        </w:tc>
        <w:tc>
          <w:tcPr>
            <w:tcW w:w="128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360</w:t>
            </w:r>
          </w:p>
        </w:tc>
        <w:tc>
          <w:tcPr>
            <w:tcW w:w="1976" w:type="dxa"/>
            <w:tcBorders>
              <w:top w:val="nil"/>
              <w:left w:val="nil"/>
              <w:bottom w:val="single" w:color="auto" w:sz="4" w:space="0"/>
              <w:right w:val="single" w:color="auto" w:sz="4" w:space="0"/>
            </w:tcBorders>
            <w:shd w:val="clear" w:color="auto" w:fill="auto"/>
            <w:noWrap/>
            <w:vAlign w:val="center"/>
          </w:tcPr>
          <w:p>
            <w:pPr>
              <w:widowControl/>
              <w:spacing w:line="300" w:lineRule="exact"/>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　</w:t>
            </w:r>
          </w:p>
        </w:tc>
        <w:tc>
          <w:tcPr>
            <w:tcW w:w="714"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乙</w:t>
            </w:r>
          </w:p>
        </w:tc>
        <w:tc>
          <w:tcPr>
            <w:tcW w:w="98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360</w:t>
            </w:r>
          </w:p>
        </w:tc>
        <w:tc>
          <w:tcPr>
            <w:tcW w:w="514"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　</w:t>
            </w:r>
          </w:p>
        </w:tc>
      </w:tr>
      <w:tr>
        <w:tblPrEx>
          <w:tblCellMar>
            <w:top w:w="0" w:type="dxa"/>
            <w:left w:w="108" w:type="dxa"/>
            <w:bottom w:w="0" w:type="dxa"/>
            <w:right w:w="108" w:type="dxa"/>
          </w:tblCellMar>
        </w:tblPrEx>
        <w:trPr>
          <w:trHeight w:val="554" w:hRule="atLeast"/>
        </w:trPr>
        <w:tc>
          <w:tcPr>
            <w:tcW w:w="476"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　</w:t>
            </w:r>
          </w:p>
        </w:tc>
        <w:tc>
          <w:tcPr>
            <w:tcW w:w="147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111103</w:t>
            </w:r>
          </w:p>
        </w:tc>
        <w:tc>
          <w:tcPr>
            <w:tcW w:w="215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宋体"/>
                <w:b/>
                <w:bCs/>
                <w:color w:val="000000"/>
                <w:kern w:val="0"/>
                <w:sz w:val="24"/>
              </w:rPr>
            </w:pPr>
            <w:r>
              <w:rPr>
                <w:rFonts w:hint="eastAsia" w:ascii="Times New Roman" w:hAnsi="Times New Roman" w:eastAsia="方正仿宋_GBK" w:cs="宋体"/>
                <w:b/>
                <w:bCs/>
                <w:color w:val="000000"/>
                <w:kern w:val="0"/>
                <w:sz w:val="24"/>
              </w:rPr>
              <w:t>远程监测</w:t>
            </w:r>
          </w:p>
        </w:tc>
        <w:tc>
          <w:tcPr>
            <w:tcW w:w="2454" w:type="dxa"/>
            <w:tcBorders>
              <w:top w:val="nil"/>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方正仿宋_GBK" w:cs="宋体"/>
                <w:color w:val="000000"/>
                <w:kern w:val="0"/>
                <w:sz w:val="28"/>
              </w:rPr>
            </w:pPr>
            <w:r>
              <w:rPr>
                <w:rFonts w:hint="eastAsia" w:ascii="Times New Roman" w:hAnsi="Times New Roman" w:eastAsia="方正仿宋_GBK" w:cs="宋体"/>
                <w:color w:val="000000"/>
                <w:kern w:val="0"/>
                <w:sz w:val="28"/>
              </w:rPr>
              <w:t>　</w:t>
            </w:r>
          </w:p>
        </w:tc>
        <w:tc>
          <w:tcPr>
            <w:tcW w:w="47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cs="宋体"/>
                <w:color w:val="000000"/>
                <w:kern w:val="0"/>
                <w:sz w:val="28"/>
              </w:rPr>
            </w:pPr>
            <w:r>
              <w:rPr>
                <w:rFonts w:hint="eastAsia" w:ascii="Times New Roman" w:hAnsi="Times New Roman" w:eastAsia="方正仿宋_GBK" w:cs="宋体"/>
                <w:color w:val="000000"/>
                <w:kern w:val="0"/>
                <w:sz w:val="28"/>
              </w:rPr>
              <w:t>　</w:t>
            </w:r>
          </w:p>
        </w:tc>
        <w:tc>
          <w:tcPr>
            <w:tcW w:w="4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cs="宋体"/>
                <w:color w:val="000000"/>
                <w:kern w:val="0"/>
                <w:sz w:val="28"/>
              </w:rPr>
            </w:pPr>
            <w:r>
              <w:rPr>
                <w:rFonts w:hint="eastAsia" w:ascii="Times New Roman" w:hAnsi="Times New Roman" w:eastAsia="方正仿宋_GBK" w:cs="宋体"/>
                <w:color w:val="000000"/>
                <w:kern w:val="0"/>
                <w:sz w:val="28"/>
              </w:rPr>
              <w:t>　</w:t>
            </w:r>
          </w:p>
        </w:tc>
        <w:tc>
          <w:tcPr>
            <w:tcW w:w="128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cs="宋体"/>
                <w:color w:val="000000"/>
                <w:kern w:val="0"/>
                <w:sz w:val="28"/>
              </w:rPr>
            </w:pPr>
            <w:r>
              <w:rPr>
                <w:rFonts w:hint="eastAsia" w:ascii="Times New Roman" w:hAnsi="Times New Roman" w:eastAsia="方正仿宋_GBK" w:cs="宋体"/>
                <w:color w:val="000000"/>
                <w:kern w:val="0"/>
                <w:sz w:val="28"/>
              </w:rPr>
              <w:t>　</w:t>
            </w:r>
          </w:p>
        </w:tc>
        <w:tc>
          <w:tcPr>
            <w:tcW w:w="1976"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Times New Roman" w:hAnsi="Times New Roman" w:eastAsia="方正仿宋_GBK" w:cs="宋体"/>
                <w:color w:val="000000"/>
                <w:kern w:val="0"/>
                <w:sz w:val="28"/>
              </w:rPr>
            </w:pPr>
            <w:r>
              <w:rPr>
                <w:rFonts w:hint="eastAsia" w:ascii="Times New Roman" w:hAnsi="Times New Roman" w:eastAsia="方正仿宋_GBK" w:cs="宋体"/>
                <w:color w:val="000000"/>
                <w:kern w:val="0"/>
                <w:sz w:val="28"/>
              </w:rPr>
              <w:t>　</w:t>
            </w:r>
          </w:p>
        </w:tc>
        <w:tc>
          <w:tcPr>
            <w:tcW w:w="714"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　</w:t>
            </w:r>
          </w:p>
        </w:tc>
        <w:tc>
          <w:tcPr>
            <w:tcW w:w="98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cs="宋体"/>
                <w:color w:val="000000"/>
                <w:kern w:val="0"/>
                <w:sz w:val="24"/>
              </w:rPr>
            </w:pPr>
          </w:p>
        </w:tc>
        <w:tc>
          <w:tcPr>
            <w:tcW w:w="514"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　</w:t>
            </w:r>
          </w:p>
        </w:tc>
      </w:tr>
      <w:tr>
        <w:tblPrEx>
          <w:tblCellMar>
            <w:top w:w="0" w:type="dxa"/>
            <w:left w:w="108" w:type="dxa"/>
            <w:bottom w:w="0" w:type="dxa"/>
            <w:right w:w="108" w:type="dxa"/>
          </w:tblCellMar>
        </w:tblPrEx>
        <w:trPr>
          <w:trHeight w:val="1120" w:hRule="atLeast"/>
        </w:trPr>
        <w:tc>
          <w:tcPr>
            <w:tcW w:w="476"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6</w:t>
            </w:r>
          </w:p>
        </w:tc>
        <w:tc>
          <w:tcPr>
            <w:tcW w:w="1475"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111103001</w:t>
            </w:r>
          </w:p>
        </w:tc>
        <w:tc>
          <w:tcPr>
            <w:tcW w:w="2155"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远程心电监测</w:t>
            </w:r>
          </w:p>
        </w:tc>
        <w:tc>
          <w:tcPr>
            <w:tcW w:w="2454" w:type="dxa"/>
            <w:tcBorders>
              <w:top w:val="nil"/>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指使用心电监测远程传输系统，指导患者使用，记录并处理患者触发的心电事件，利用无线网络收集传输数据，专业医师根据有关数据提供分析或指导服务，含设备安置。</w:t>
            </w:r>
          </w:p>
        </w:tc>
        <w:tc>
          <w:tcPr>
            <w:tcW w:w="475"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　</w:t>
            </w:r>
          </w:p>
        </w:tc>
        <w:tc>
          <w:tcPr>
            <w:tcW w:w="478"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日</w:t>
            </w:r>
          </w:p>
        </w:tc>
        <w:tc>
          <w:tcPr>
            <w:tcW w:w="1280"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70</w:t>
            </w:r>
          </w:p>
        </w:tc>
        <w:tc>
          <w:tcPr>
            <w:tcW w:w="1976"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　</w:t>
            </w:r>
          </w:p>
        </w:tc>
        <w:tc>
          <w:tcPr>
            <w:tcW w:w="714"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乙</w:t>
            </w:r>
          </w:p>
        </w:tc>
        <w:tc>
          <w:tcPr>
            <w:tcW w:w="987"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70</w:t>
            </w:r>
          </w:p>
        </w:tc>
        <w:tc>
          <w:tcPr>
            <w:tcW w:w="514"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　</w:t>
            </w:r>
          </w:p>
        </w:tc>
      </w:tr>
      <w:tr>
        <w:tblPrEx>
          <w:tblCellMar>
            <w:top w:w="0" w:type="dxa"/>
            <w:left w:w="108" w:type="dxa"/>
            <w:bottom w:w="0" w:type="dxa"/>
            <w:right w:w="108" w:type="dxa"/>
          </w:tblCellMar>
        </w:tblPrEx>
        <w:trPr>
          <w:trHeight w:val="1120" w:hRule="atLeast"/>
        </w:trPr>
        <w:tc>
          <w:tcPr>
            <w:tcW w:w="476"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7</w:t>
            </w:r>
          </w:p>
        </w:tc>
        <w:tc>
          <w:tcPr>
            <w:tcW w:w="147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宋体"/>
                <w:color w:val="000000"/>
                <w:kern w:val="0"/>
                <w:sz w:val="28"/>
                <w:szCs w:val="28"/>
              </w:rPr>
            </w:pPr>
            <w:r>
              <w:rPr>
                <w:rFonts w:hint="eastAsia" w:ascii="Times New Roman" w:hAnsi="Times New Roman" w:eastAsia="方正仿宋_GBK" w:cs="宋体"/>
                <w:color w:val="000000"/>
                <w:kern w:val="0"/>
                <w:szCs w:val="21"/>
              </w:rPr>
              <w:t>111103002</w:t>
            </w:r>
          </w:p>
        </w:tc>
        <w:tc>
          <w:tcPr>
            <w:tcW w:w="215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远程起博器监测</w:t>
            </w:r>
          </w:p>
        </w:tc>
        <w:tc>
          <w:tcPr>
            <w:tcW w:w="2454" w:type="dxa"/>
            <w:tcBorders>
              <w:top w:val="nil"/>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指通过带有远程监测功能的起搏器，利用无线网络收集传输起搏器的数据，专业医师根据有关数据判断起搏器的工作状态，确定患者到医院程控和随访的时间。不含起搏器程控功能检查。</w:t>
            </w:r>
          </w:p>
        </w:tc>
        <w:tc>
          <w:tcPr>
            <w:tcW w:w="475"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　</w:t>
            </w:r>
          </w:p>
        </w:tc>
        <w:tc>
          <w:tcPr>
            <w:tcW w:w="4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次</w:t>
            </w:r>
          </w:p>
        </w:tc>
        <w:tc>
          <w:tcPr>
            <w:tcW w:w="1280"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70</w:t>
            </w:r>
          </w:p>
        </w:tc>
        <w:tc>
          <w:tcPr>
            <w:tcW w:w="1976" w:type="dxa"/>
            <w:tcBorders>
              <w:top w:val="nil"/>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每周计费不超过1次，每月计费不超过2次。</w:t>
            </w:r>
          </w:p>
        </w:tc>
        <w:tc>
          <w:tcPr>
            <w:tcW w:w="714"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乙</w:t>
            </w:r>
          </w:p>
        </w:tc>
        <w:tc>
          <w:tcPr>
            <w:tcW w:w="98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70</w:t>
            </w:r>
          </w:p>
        </w:tc>
        <w:tc>
          <w:tcPr>
            <w:tcW w:w="514"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　</w:t>
            </w:r>
          </w:p>
        </w:tc>
      </w:tr>
      <w:tr>
        <w:tblPrEx>
          <w:tblCellMar>
            <w:top w:w="0" w:type="dxa"/>
            <w:left w:w="108" w:type="dxa"/>
            <w:bottom w:w="0" w:type="dxa"/>
            <w:right w:w="108" w:type="dxa"/>
          </w:tblCellMar>
        </w:tblPrEx>
        <w:trPr>
          <w:trHeight w:val="1400" w:hRule="atLeast"/>
        </w:trPr>
        <w:tc>
          <w:tcPr>
            <w:tcW w:w="476"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8</w:t>
            </w:r>
          </w:p>
        </w:tc>
        <w:tc>
          <w:tcPr>
            <w:tcW w:w="147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111103003</w:t>
            </w:r>
          </w:p>
        </w:tc>
        <w:tc>
          <w:tcPr>
            <w:tcW w:w="215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远程除颤器监测</w:t>
            </w:r>
          </w:p>
        </w:tc>
        <w:tc>
          <w:tcPr>
            <w:tcW w:w="2454" w:type="dxa"/>
            <w:tcBorders>
              <w:top w:val="nil"/>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指通过带有远程监测功能的除颤器，利用无线网络将除颤器的数据收集传输到相应的数据信息处理中心，专业医师根据有关数据判断除颤器的工作状态，确定患者到医院程控和随访的时间。不含除颤器程控功能检查。</w:t>
            </w:r>
          </w:p>
        </w:tc>
        <w:tc>
          <w:tcPr>
            <w:tcW w:w="475"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　</w:t>
            </w:r>
          </w:p>
        </w:tc>
        <w:tc>
          <w:tcPr>
            <w:tcW w:w="4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次</w:t>
            </w:r>
          </w:p>
        </w:tc>
        <w:tc>
          <w:tcPr>
            <w:tcW w:w="1280"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70</w:t>
            </w:r>
          </w:p>
        </w:tc>
        <w:tc>
          <w:tcPr>
            <w:tcW w:w="1976" w:type="dxa"/>
            <w:tcBorders>
              <w:top w:val="nil"/>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每周计费不超过1次，每月计费不超过2次。</w:t>
            </w:r>
          </w:p>
        </w:tc>
        <w:tc>
          <w:tcPr>
            <w:tcW w:w="714"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乙</w:t>
            </w:r>
          </w:p>
        </w:tc>
        <w:tc>
          <w:tcPr>
            <w:tcW w:w="98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70</w:t>
            </w:r>
          </w:p>
        </w:tc>
        <w:tc>
          <w:tcPr>
            <w:tcW w:w="514"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　</w:t>
            </w:r>
          </w:p>
        </w:tc>
      </w:tr>
      <w:tr>
        <w:tblPrEx>
          <w:tblCellMar>
            <w:top w:w="0" w:type="dxa"/>
            <w:left w:w="108" w:type="dxa"/>
            <w:bottom w:w="0" w:type="dxa"/>
            <w:right w:w="108" w:type="dxa"/>
          </w:tblCellMar>
        </w:tblPrEx>
        <w:trPr>
          <w:trHeight w:val="1120" w:hRule="atLeast"/>
        </w:trPr>
        <w:tc>
          <w:tcPr>
            <w:tcW w:w="476"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9</w:t>
            </w:r>
          </w:p>
        </w:tc>
        <w:tc>
          <w:tcPr>
            <w:tcW w:w="147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111103004</w:t>
            </w:r>
          </w:p>
        </w:tc>
        <w:tc>
          <w:tcPr>
            <w:tcW w:w="215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远程胎心监测</w:t>
            </w:r>
          </w:p>
        </w:tc>
        <w:tc>
          <w:tcPr>
            <w:tcW w:w="2454" w:type="dxa"/>
            <w:tcBorders>
              <w:top w:val="nil"/>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方正仿宋_GBK" w:cs="宋体"/>
                <w:color w:val="000000"/>
                <w:w w:val="90"/>
                <w:kern w:val="0"/>
                <w:szCs w:val="21"/>
              </w:rPr>
            </w:pPr>
            <w:r>
              <w:rPr>
                <w:rFonts w:hint="eastAsia" w:ascii="Times New Roman" w:hAnsi="Times New Roman" w:eastAsia="方正仿宋_GBK" w:cs="宋体"/>
                <w:color w:val="000000"/>
                <w:w w:val="90"/>
                <w:kern w:val="0"/>
                <w:szCs w:val="21"/>
              </w:rPr>
              <w:t>指怀</w:t>
            </w:r>
            <w:r>
              <w:rPr>
                <w:rFonts w:ascii="Times New Roman" w:hAnsi="Times New Roman" w:eastAsia="方正仿宋_GBK" w:cs="宋体"/>
                <w:color w:val="000000"/>
                <w:w w:val="90"/>
                <w:kern w:val="0"/>
                <w:szCs w:val="21"/>
              </w:rPr>
              <w:t>孕</w:t>
            </w:r>
            <w:r>
              <w:rPr>
                <w:rFonts w:hint="eastAsia" w:ascii="Times New Roman" w:hAnsi="Times New Roman" w:eastAsia="方正仿宋_GBK" w:cs="宋体"/>
                <w:color w:val="000000"/>
                <w:w w:val="90"/>
                <w:kern w:val="0"/>
                <w:szCs w:val="21"/>
              </w:rPr>
              <w:t>28周及以上的孕妇通过带有远程监测功能的胎心监测仪，利用无线网络实时采集胎心数据，由孕妇在医疗机构规定时间内及时上传，专业医师根据有关数据及时提供分析或指导服务。</w:t>
            </w:r>
          </w:p>
        </w:tc>
        <w:tc>
          <w:tcPr>
            <w:tcW w:w="475"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　</w:t>
            </w:r>
          </w:p>
        </w:tc>
        <w:tc>
          <w:tcPr>
            <w:tcW w:w="4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次</w:t>
            </w:r>
          </w:p>
        </w:tc>
        <w:tc>
          <w:tcPr>
            <w:tcW w:w="1280"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18</w:t>
            </w:r>
          </w:p>
        </w:tc>
        <w:tc>
          <w:tcPr>
            <w:tcW w:w="1976" w:type="dxa"/>
            <w:tcBorders>
              <w:top w:val="nil"/>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每天计费不超过2次。</w:t>
            </w:r>
          </w:p>
        </w:tc>
        <w:tc>
          <w:tcPr>
            <w:tcW w:w="714"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甲</w:t>
            </w:r>
          </w:p>
        </w:tc>
        <w:tc>
          <w:tcPr>
            <w:tcW w:w="98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Cs w:val="21"/>
              </w:rPr>
              <w:t>18</w:t>
            </w:r>
          </w:p>
        </w:tc>
        <w:tc>
          <w:tcPr>
            <w:tcW w:w="514"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　</w:t>
            </w:r>
          </w:p>
        </w:tc>
      </w:tr>
    </w:tbl>
    <w:p>
      <w:pPr>
        <w:adjustRightInd w:val="0"/>
        <w:snapToGrid w:val="0"/>
        <w:spacing w:line="300" w:lineRule="exact"/>
        <w:rPr>
          <w:rFonts w:ascii="Times New Roman" w:hAnsi="Times New Roman" w:eastAsia="仿宋_GB2312"/>
          <w:szCs w:val="32"/>
        </w:rPr>
        <w:sectPr>
          <w:footerReference r:id="rId3" w:type="default"/>
          <w:footerReference r:id="rId4" w:type="even"/>
          <w:pgSz w:w="16840" w:h="11907" w:orient="landscape"/>
          <w:pgMar w:top="1588" w:right="2098" w:bottom="1474" w:left="1985" w:header="851" w:footer="1531" w:gutter="0"/>
          <w:pgNumType w:fmt="numberInDash"/>
          <w:cols w:space="720" w:num="1"/>
          <w:docGrid w:type="linesAndChars" w:linePitch="312" w:charSpace="0"/>
        </w:sectPr>
      </w:pPr>
      <w:bookmarkStart w:id="0" w:name="_GoBack"/>
      <w:bookmarkEnd w:id="0"/>
    </w:p>
    <w:p>
      <w:pPr>
        <w:snapToGrid w:val="0"/>
        <w:spacing w:line="15" w:lineRule="auto"/>
      </w:pPr>
    </w:p>
    <w:sectPr>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firstLine="480"/>
      <w:jc w:val="right"/>
      <w:rPr>
        <w:rFonts w:ascii="宋体" w:hAnsi="宋体"/>
        <w:sz w:val="24"/>
        <w:szCs w:val="24"/>
      </w:rPr>
    </w:pPr>
    <w:r>
      <w:rPr>
        <w:rFonts w:asciiTheme="minorHAnsi" w:hAnsiTheme="minorHAnsi"/>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800735" cy="230505"/>
              <wp:effectExtent l="0" t="0" r="0" b="0"/>
              <wp:wrapNone/>
              <wp:docPr id="1" name="文本框 3"/>
              <wp:cNvGraphicFramePr/>
              <a:graphic xmlns:a="http://schemas.openxmlformats.org/drawingml/2006/main">
                <a:graphicData uri="http://schemas.microsoft.com/office/word/2010/wordprocessingShape">
                  <wps:wsp>
                    <wps:cNvSpPr txBox="1"/>
                    <wps:spPr>
                      <a:xfrm>
                        <a:off x="0" y="0"/>
                        <a:ext cx="800735"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
                            <w:ind w:firstLine="56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- 13 -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8.15pt;width:63.05pt;mso-position-horizontal:outside;mso-position-horizontal-relative:margin;mso-wrap-style:none;z-index:251661312;mso-width-relative:page;mso-height-relative:page;" filled="f" stroked="f" coordsize="21600,21600" o:gfxdata="UEsDBAoAAAAAAIdO4kAAAAAAAAAAAAAAAAAEAAAAZHJzL1BLAwQUAAAACACHTuJAFZal2NMAAAAE&#10;AQAADwAAAGRycy9kb3ducmV2LnhtbE2PwWrDMBBE74X+g9hAb43suJjgWg4k1D0WGueQo2JtbSfS&#10;ykiK4/59lV7ay8Iww8zbcjMbzSZ0frAkIF0mwJBaqwbqBBya+nkNzAdJSmpLKOAbPWyqx4dSFsre&#10;6BOnfehYLCFfSAF9CGPBuW97NNIv7YgUvS/rjAxRuo4rJ2+x3Gi+SpKcGzlQXOjliLse28v+agTs&#10;6qZxE3qnj/heZ+eP7Qu+zUI8LdLkFVjAOfyF4Y4f0aGKTCd7JeWZFhAfCb/37q3yFNhJQJZnwKuS&#10;/4evfgBQSwMEFAAAAAgAh07iQDAzlSM2AgAAYQQAAA4AAABkcnMvZTJvRG9jLnhtbK1US27bMBDd&#10;F+gdCO5rKTacBoblwI3hooDRBHCLrmmKsgTwB5K25B6gvUFX3XSfc/kcfdTHKdIusuiGHs6M3sx7&#10;M/T8tlGSHIXzldEZvRqllAjNTV7pfUY/f1q/uaHEB6ZzJo0WGT0JT28Xr1/NazsTY1MamQtHAKL9&#10;rLYZLUOwsyTxvBSK+ZGxQiNYGKdYwNXtk9yxGuhKJuM0vU5q43LrDBfew7vqgrRHdC8BNEVRcbEy&#10;/KCEDh2qE5IFUPJlZT1dtN0WheDhvii8CERmFExDe6II7F08k8WczfaO2bLifQvsJS0846RYpVH0&#10;ArVigZGDq/6CUhV3xpsijLhRSUekVQQsrtJn2mxLZkXLBVJ7exHd/z9Y/vH44EiVYxMo0Uxh4Ocf&#10;388/H8+/vpFJlKe2foasrUVeaN6ZJqb2fg9nZN0UTsVf8CGIQ9zTRVzRBMLhvEnTt5MpJRyh8SSd&#10;ptOIkjx9bJ0P74VRJBoZdZhdKyk7bnzoUoeUWEubdSUl/GwmNakzej2Zpu0HlwjApY4Jot2EHiYS&#10;6hqPVmh2Tc9mZ/ITSDrTbYm3fF2hlQ3z4YE5rAV44eGEexyFNChpeouS0riv//LHfEwLUUpqrFlG&#10;NV4VJfKDxhTjRg6GG4zdYOiDujPYW0wGvbQmPnBBDmbhjPqC17SMNRBimqNSRsNg3oVu1fEauVgu&#10;2yTsnWVho7eWR+goj7fLQ4CcrcpRlE4JTCdesHntnPpXElf7z3ub9fTPsPg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FZal2NMAAAAEAQAADwAAAAAAAAABACAAAAAiAAAAZHJzL2Rvd25yZXYueG1s&#10;UEsBAhQAFAAAAAgAh07iQDAzlSM2AgAAYQQAAA4AAAAAAAAAAQAgAAAAIgEAAGRycy9lMm9Eb2Mu&#10;eG1sUEsFBgAAAAAGAAYAWQEAAMoFAAAAAA==&#10;">
              <v:fill on="f" focussize="0,0"/>
              <v:stroke on="f" weight="0.5pt"/>
              <v:imagedata o:title=""/>
              <o:lock v:ext="edit" aspectratio="f"/>
              <v:textbox inset="0mm,0mm,0mm,0mm" style="mso-fit-shape-to-text:t;">
                <w:txbxContent>
                  <w:p>
                    <w:pPr>
                      <w:pStyle w:val="5"/>
                      <w:ind w:firstLine="56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- 13 -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576242"/>
      <w:docPartObj>
        <w:docPartGallery w:val="AutoText"/>
      </w:docPartObj>
    </w:sdtPr>
    <w:sdtContent>
      <w:p>
        <w:pPr>
          <w:pStyle w:val="5"/>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sdtContent>
  </w:sdt>
  <w:p>
    <w:pPr>
      <w:pStyle w:val="5"/>
      <w:ind w:right="360" w:firstLine="42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9F1"/>
    <w:rsid w:val="001B29FD"/>
    <w:rsid w:val="001E62AC"/>
    <w:rsid w:val="002958C0"/>
    <w:rsid w:val="004375A7"/>
    <w:rsid w:val="00465ED9"/>
    <w:rsid w:val="00546C0A"/>
    <w:rsid w:val="006236DB"/>
    <w:rsid w:val="006251EB"/>
    <w:rsid w:val="00627C57"/>
    <w:rsid w:val="006761A9"/>
    <w:rsid w:val="006C28A5"/>
    <w:rsid w:val="006C716A"/>
    <w:rsid w:val="006D2B58"/>
    <w:rsid w:val="0076414C"/>
    <w:rsid w:val="00772340"/>
    <w:rsid w:val="00785B0B"/>
    <w:rsid w:val="00800B09"/>
    <w:rsid w:val="008A1FBB"/>
    <w:rsid w:val="00A26B9B"/>
    <w:rsid w:val="00A8021B"/>
    <w:rsid w:val="00B231ED"/>
    <w:rsid w:val="00B2375C"/>
    <w:rsid w:val="00BB0F49"/>
    <w:rsid w:val="00BD59F1"/>
    <w:rsid w:val="00BE0CB6"/>
    <w:rsid w:val="00C02CA9"/>
    <w:rsid w:val="00D822F4"/>
    <w:rsid w:val="00DF0E9B"/>
    <w:rsid w:val="00E10AF5"/>
    <w:rsid w:val="00E95DD5"/>
    <w:rsid w:val="00EC1B42"/>
    <w:rsid w:val="00F65B11"/>
    <w:rsid w:val="00F713B4"/>
    <w:rsid w:val="5FA037B3"/>
    <w:rsid w:val="7CF4591C"/>
    <w:rsid w:val="7D7F5F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4"/>
    <w:qFormat/>
    <w:uiPriority w:val="99"/>
    <w:pPr>
      <w:keepNext/>
      <w:keepLines/>
      <w:spacing w:before="340" w:after="330" w:line="578" w:lineRule="auto"/>
      <w:outlineLvl w:val="0"/>
    </w:pPr>
    <w:rPr>
      <w:rFonts w:eastAsia="仿宋_GB2312"/>
      <w:b/>
      <w:bCs/>
      <w:kern w:val="44"/>
      <w:sz w:val="44"/>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qFormat/>
    <w:uiPriority w:val="99"/>
    <w:pPr>
      <w:jc w:val="center"/>
    </w:pPr>
  </w:style>
  <w:style w:type="paragraph" w:styleId="4">
    <w:name w:val="Balloon Text"/>
    <w:basedOn w:val="1"/>
    <w:link w:val="15"/>
    <w:semiHidden/>
    <w:unhideWhenUsed/>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kern w:val="0"/>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basedOn w:val="8"/>
    <w:qFormat/>
    <w:uiPriority w:val="0"/>
  </w:style>
  <w:style w:type="character" w:customStyle="1" w:styleId="10">
    <w:name w:val="页眉 Char"/>
    <w:link w:val="6"/>
    <w:qFormat/>
    <w:uiPriority w:val="99"/>
    <w:rPr>
      <w:sz w:val="18"/>
      <w:szCs w:val="18"/>
    </w:rPr>
  </w:style>
  <w:style w:type="character" w:customStyle="1" w:styleId="11">
    <w:name w:val="页脚 Char"/>
    <w:link w:val="5"/>
    <w:qFormat/>
    <w:uiPriority w:val="99"/>
    <w:rPr>
      <w:sz w:val="18"/>
      <w:szCs w:val="18"/>
    </w:rPr>
  </w:style>
  <w:style w:type="character" w:customStyle="1" w:styleId="12">
    <w:name w:val="正文文本 Char"/>
    <w:uiPriority w:val="99"/>
    <w:rPr>
      <w:kern w:val="2"/>
      <w:sz w:val="21"/>
      <w:szCs w:val="22"/>
    </w:rPr>
  </w:style>
  <w:style w:type="character" w:customStyle="1" w:styleId="13">
    <w:name w:val="正文文本 Char1"/>
    <w:link w:val="3"/>
    <w:uiPriority w:val="0"/>
    <w:rPr>
      <w:rFonts w:ascii="Times New Roman" w:hAnsi="Times New Roman" w:eastAsia="仿宋_GB2312"/>
      <w:b/>
      <w:color w:val="FF0000"/>
      <w:kern w:val="2"/>
      <w:sz w:val="44"/>
      <w:szCs w:val="32"/>
    </w:rPr>
  </w:style>
  <w:style w:type="character" w:customStyle="1" w:styleId="14">
    <w:name w:val="标题 1 Char"/>
    <w:basedOn w:val="8"/>
    <w:link w:val="2"/>
    <w:uiPriority w:val="99"/>
    <w:rPr>
      <w:rFonts w:eastAsia="仿宋_GB2312"/>
      <w:b/>
      <w:bCs/>
      <w:kern w:val="44"/>
      <w:sz w:val="44"/>
      <w:szCs w:val="44"/>
    </w:rPr>
  </w:style>
  <w:style w:type="character" w:customStyle="1" w:styleId="15">
    <w:name w:val="批注框文本 Char"/>
    <w:basedOn w:val="8"/>
    <w:link w:val="4"/>
    <w:semiHidden/>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593</Words>
  <Characters>3385</Characters>
  <Lines>28</Lines>
  <Paragraphs>7</Paragraphs>
  <TotalTime>20</TotalTime>
  <ScaleCrop>false</ScaleCrop>
  <LinksUpToDate>false</LinksUpToDate>
  <CharactersWithSpaces>3971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2020-08-03T03:18:00Z</dcterms:created>
  <dc:creator>胡娟</dc:creator>
  <cp:lastModifiedBy>acer</cp:lastModifiedBy>
  <dcterms:modified xsi:type="dcterms:W3CDTF">2020-12-04T08:01:18Z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