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pPr w:leftFromText="180" w:rightFromText="180" w:vertAnchor="text" w:horzAnchor="margin" w:tblpXSpec="center" w:tblpY="61"/>
        <w:tblW w:w="9356" w:type="dxa"/>
        <w:tblLook w:val="04A0"/>
      </w:tblPr>
      <w:tblGrid>
        <w:gridCol w:w="1234"/>
        <w:gridCol w:w="1284"/>
        <w:gridCol w:w="4332"/>
        <w:gridCol w:w="2506"/>
      </w:tblGrid>
      <w:tr w:rsidR="009C5D2B" w:rsidTr="004A4DFD">
        <w:tc>
          <w:tcPr>
            <w:tcW w:w="1234" w:type="dxa"/>
            <w:vAlign w:val="center"/>
          </w:tcPr>
          <w:p w:rsidR="009C5D2B" w:rsidRPr="00F1628A" w:rsidRDefault="009C5D2B" w:rsidP="004A4DFD">
            <w:pPr>
              <w:spacing w:line="360" w:lineRule="exact"/>
              <w:jc w:val="center"/>
              <w:rPr>
                <w:rFonts w:ascii="仿宋_GB2312"/>
                <w:sz w:val="24"/>
              </w:rPr>
            </w:pPr>
            <w:r>
              <w:rPr>
                <w:rFonts w:ascii="仿宋_GB2312" w:hint="eastAsia"/>
                <w:sz w:val="24"/>
              </w:rPr>
              <w:t>编码</w:t>
            </w:r>
          </w:p>
        </w:tc>
        <w:tc>
          <w:tcPr>
            <w:tcW w:w="8122" w:type="dxa"/>
            <w:gridSpan w:val="3"/>
          </w:tcPr>
          <w:p w:rsidR="009C5D2B" w:rsidRPr="00F1628A" w:rsidRDefault="009C5D2B" w:rsidP="004A4DFD">
            <w:pPr>
              <w:spacing w:line="360" w:lineRule="exact"/>
              <w:jc w:val="center"/>
              <w:rPr>
                <w:rFonts w:ascii="仿宋_GB2312"/>
                <w:sz w:val="24"/>
              </w:rPr>
            </w:pPr>
            <w:r>
              <w:rPr>
                <w:rFonts w:ascii="仿宋_GB2312" w:hint="eastAsia"/>
                <w:sz w:val="24"/>
              </w:rPr>
              <w:t>HEBMPA-C-1-0</w:t>
            </w:r>
            <w:r w:rsidR="00E34D14">
              <w:rPr>
                <w:rFonts w:ascii="仿宋_GB2312" w:hint="eastAsia"/>
                <w:sz w:val="24"/>
              </w:rPr>
              <w:t>2</w:t>
            </w:r>
            <w:r w:rsidR="0016492A">
              <w:rPr>
                <w:rFonts w:ascii="仿宋_GB2312" w:hint="eastAsia"/>
                <w:sz w:val="24"/>
              </w:rPr>
              <w:t>8</w:t>
            </w:r>
          </w:p>
        </w:tc>
      </w:tr>
      <w:tr w:rsidR="0053754F" w:rsidTr="004A4DFD">
        <w:trPr>
          <w:trHeight w:val="2100"/>
        </w:trPr>
        <w:tc>
          <w:tcPr>
            <w:tcW w:w="1234" w:type="dxa"/>
            <w:vAlign w:val="center"/>
          </w:tcPr>
          <w:p w:rsidR="0053754F" w:rsidRPr="00F1628A" w:rsidRDefault="0053754F" w:rsidP="004A4DFD">
            <w:pPr>
              <w:spacing w:line="360" w:lineRule="exact"/>
              <w:jc w:val="center"/>
              <w:rPr>
                <w:rFonts w:ascii="仿宋_GB2312"/>
                <w:sz w:val="24"/>
              </w:rPr>
            </w:pPr>
            <w:r w:rsidRPr="00F1628A">
              <w:rPr>
                <w:rFonts w:ascii="仿宋_GB2312" w:hint="eastAsia"/>
                <w:sz w:val="24"/>
              </w:rPr>
              <w:t>违法行为</w:t>
            </w:r>
          </w:p>
        </w:tc>
        <w:tc>
          <w:tcPr>
            <w:tcW w:w="8122" w:type="dxa"/>
            <w:gridSpan w:val="3"/>
          </w:tcPr>
          <w:p w:rsidR="0053754F" w:rsidRPr="00F1628A" w:rsidRDefault="0053754F" w:rsidP="004A4DFD">
            <w:pPr>
              <w:spacing w:line="280" w:lineRule="exact"/>
              <w:rPr>
                <w:rFonts w:ascii="仿宋_GB2312"/>
                <w:sz w:val="24"/>
              </w:rPr>
            </w:pPr>
            <w:r w:rsidRPr="00F1628A">
              <w:rPr>
                <w:rFonts w:ascii="仿宋_GB2312" w:hint="eastAsia"/>
                <w:sz w:val="24"/>
              </w:rPr>
              <w:t>1.未按照规定建立疫苗电子追溯系统；</w:t>
            </w:r>
          </w:p>
          <w:p w:rsidR="0053754F" w:rsidRPr="00F1628A" w:rsidRDefault="0053754F" w:rsidP="004A4DFD">
            <w:pPr>
              <w:spacing w:line="280" w:lineRule="exact"/>
              <w:rPr>
                <w:rFonts w:ascii="仿宋_GB2312"/>
                <w:sz w:val="24"/>
              </w:rPr>
            </w:pPr>
            <w:r w:rsidRPr="00F1628A">
              <w:rPr>
                <w:rFonts w:ascii="仿宋_GB2312" w:hint="eastAsia"/>
                <w:sz w:val="24"/>
              </w:rPr>
              <w:t>2.法定代表人、主要负责人和生产管理负责人、质量管理负责人、质量受权人等关键岗位人员不符合规定条件或者未按照规定对其进行培训、考核；</w:t>
            </w:r>
          </w:p>
          <w:p w:rsidR="0053754F" w:rsidRPr="00F1628A" w:rsidRDefault="0053754F" w:rsidP="004A4DFD">
            <w:pPr>
              <w:spacing w:line="280" w:lineRule="exact"/>
              <w:rPr>
                <w:rFonts w:ascii="仿宋_GB2312"/>
                <w:sz w:val="24"/>
              </w:rPr>
            </w:pPr>
            <w:r w:rsidRPr="00F1628A">
              <w:rPr>
                <w:rFonts w:ascii="仿宋_GB2312" w:hint="eastAsia"/>
                <w:sz w:val="24"/>
              </w:rPr>
              <w:t>3.未按照规定报告或者备案；</w:t>
            </w:r>
          </w:p>
          <w:p w:rsidR="0053754F" w:rsidRPr="00F1628A" w:rsidRDefault="0053754F" w:rsidP="004A4DFD">
            <w:pPr>
              <w:spacing w:line="280" w:lineRule="exact"/>
              <w:rPr>
                <w:rFonts w:ascii="仿宋_GB2312"/>
                <w:sz w:val="24"/>
              </w:rPr>
            </w:pPr>
            <w:r w:rsidRPr="00F1628A">
              <w:rPr>
                <w:rFonts w:ascii="仿宋_GB2312" w:hint="eastAsia"/>
                <w:sz w:val="24"/>
              </w:rPr>
              <w:t>4.未按照规定开展上市后研究，或者未按照规定设立机构、配备人员主动收集、跟踪分析疑似预防接种异常反应；</w:t>
            </w:r>
          </w:p>
          <w:p w:rsidR="0053754F" w:rsidRPr="00F1628A" w:rsidRDefault="0053754F" w:rsidP="004A4DFD">
            <w:pPr>
              <w:spacing w:line="280" w:lineRule="exact"/>
              <w:rPr>
                <w:rFonts w:ascii="仿宋_GB2312"/>
                <w:sz w:val="24"/>
              </w:rPr>
            </w:pPr>
            <w:r w:rsidRPr="00F1628A">
              <w:rPr>
                <w:rFonts w:ascii="仿宋_GB2312" w:hint="eastAsia"/>
                <w:sz w:val="24"/>
              </w:rPr>
              <w:t>5.未按照规定投保疫苗责任强制保险；</w:t>
            </w:r>
          </w:p>
          <w:p w:rsidR="0053754F" w:rsidRPr="00F1628A" w:rsidRDefault="0053754F" w:rsidP="004A4DFD">
            <w:pPr>
              <w:spacing w:line="280" w:lineRule="exact"/>
              <w:rPr>
                <w:rFonts w:ascii="仿宋_GB2312"/>
                <w:sz w:val="24"/>
              </w:rPr>
            </w:pPr>
            <w:r w:rsidRPr="00F1628A">
              <w:rPr>
                <w:rFonts w:ascii="仿宋_GB2312" w:hint="eastAsia"/>
                <w:sz w:val="24"/>
              </w:rPr>
              <w:t>6.未按照规定建立信息公开制度。</w:t>
            </w:r>
          </w:p>
        </w:tc>
      </w:tr>
      <w:tr w:rsidR="004A4DFD" w:rsidTr="004A4DFD">
        <w:trPr>
          <w:trHeight w:val="1463"/>
        </w:trPr>
        <w:tc>
          <w:tcPr>
            <w:tcW w:w="1234" w:type="dxa"/>
            <w:vAlign w:val="center"/>
          </w:tcPr>
          <w:p w:rsidR="004A4DFD" w:rsidRPr="00F1628A" w:rsidRDefault="004A4DFD" w:rsidP="004A4DFD">
            <w:pPr>
              <w:spacing w:line="360" w:lineRule="exact"/>
              <w:jc w:val="center"/>
              <w:rPr>
                <w:rFonts w:ascii="仿宋_GB2312"/>
                <w:sz w:val="24"/>
              </w:rPr>
            </w:pPr>
            <w:r>
              <w:rPr>
                <w:rFonts w:ascii="仿宋_GB2312" w:hint="eastAsia"/>
                <w:sz w:val="24"/>
              </w:rPr>
              <w:t>违法依据</w:t>
            </w:r>
          </w:p>
        </w:tc>
        <w:tc>
          <w:tcPr>
            <w:tcW w:w="8122" w:type="dxa"/>
            <w:gridSpan w:val="3"/>
          </w:tcPr>
          <w:p w:rsidR="004A4DFD" w:rsidRPr="004A4DFD" w:rsidRDefault="004A4DFD" w:rsidP="004A4DFD">
            <w:pPr>
              <w:spacing w:line="280" w:lineRule="exact"/>
              <w:rPr>
                <w:rFonts w:ascii="仿宋_GB2312"/>
                <w:sz w:val="24"/>
              </w:rPr>
            </w:pPr>
            <w:r>
              <w:rPr>
                <w:rFonts w:ascii="仿宋_GB2312" w:hint="eastAsia"/>
                <w:sz w:val="24"/>
              </w:rPr>
              <w:t>1.</w:t>
            </w:r>
            <w:r w:rsidRPr="00F1628A">
              <w:rPr>
                <w:rFonts w:ascii="仿宋_GB2312" w:hint="eastAsia"/>
                <w:sz w:val="24"/>
              </w:rPr>
              <w:t>《中华人民共和国疫苗管理法》</w:t>
            </w:r>
            <w:r w:rsidRPr="004A4DFD">
              <w:rPr>
                <w:rFonts w:ascii="仿宋_GB2312" w:hint="eastAsia"/>
                <w:sz w:val="24"/>
              </w:rPr>
              <w:t>第五条　疫苗上市许可持有人应当加强疫苗全生命周期质量管理，对疫苗的安全性、有效性和质量可控性负责。</w:t>
            </w:r>
          </w:p>
          <w:p w:rsidR="004A4DFD" w:rsidRPr="004A4DFD" w:rsidRDefault="004A4DFD" w:rsidP="004A4DFD">
            <w:pPr>
              <w:spacing w:line="280" w:lineRule="exact"/>
              <w:rPr>
                <w:rFonts w:ascii="仿宋_GB2312"/>
                <w:sz w:val="24"/>
              </w:rPr>
            </w:pPr>
            <w:r w:rsidRPr="004A4DFD">
              <w:rPr>
                <w:rFonts w:ascii="仿宋_GB2312" w:hint="eastAsia"/>
                <w:sz w:val="24"/>
              </w:rPr>
              <w:t>从事疫苗研制、生产、流通和预防接种活动的单位和个人，应当遵守法律、法规、规章、标准和规范，保证全过程信息真实、准确、完整和</w:t>
            </w:r>
            <w:proofErr w:type="gramStart"/>
            <w:r w:rsidRPr="004A4DFD">
              <w:rPr>
                <w:rFonts w:ascii="仿宋_GB2312" w:hint="eastAsia"/>
                <w:sz w:val="24"/>
              </w:rPr>
              <w:t>可</w:t>
            </w:r>
            <w:proofErr w:type="gramEnd"/>
            <w:r w:rsidRPr="004A4DFD">
              <w:rPr>
                <w:rFonts w:ascii="仿宋_GB2312" w:hint="eastAsia"/>
                <w:sz w:val="24"/>
              </w:rPr>
              <w:t>追溯，依法承担责任，接受社会监督。</w:t>
            </w:r>
          </w:p>
          <w:p w:rsidR="004A4DFD" w:rsidRPr="004A4DFD" w:rsidRDefault="004A4DFD" w:rsidP="004A4DFD">
            <w:pPr>
              <w:spacing w:line="280" w:lineRule="exact"/>
              <w:rPr>
                <w:rFonts w:ascii="仿宋_GB2312"/>
                <w:sz w:val="24"/>
              </w:rPr>
            </w:pPr>
            <w:r>
              <w:rPr>
                <w:rFonts w:ascii="仿宋_GB2312" w:hint="eastAsia"/>
                <w:sz w:val="24"/>
              </w:rPr>
              <w:t>2.</w:t>
            </w:r>
            <w:r w:rsidRPr="00F1628A">
              <w:rPr>
                <w:rFonts w:ascii="仿宋_GB2312" w:hint="eastAsia"/>
                <w:sz w:val="24"/>
              </w:rPr>
              <w:t>《中华人民共和国疫苗管理法》</w:t>
            </w:r>
            <w:r w:rsidRPr="004A4DFD">
              <w:rPr>
                <w:rFonts w:ascii="仿宋_GB2312" w:hint="eastAsia"/>
                <w:sz w:val="24"/>
              </w:rPr>
              <w:t>第十条　国家实行疫苗全程电子追溯制度。</w:t>
            </w:r>
          </w:p>
          <w:p w:rsidR="004A4DFD" w:rsidRPr="004A4DFD" w:rsidRDefault="004A4DFD" w:rsidP="004A4DFD">
            <w:pPr>
              <w:spacing w:line="280" w:lineRule="exact"/>
              <w:rPr>
                <w:rFonts w:ascii="仿宋_GB2312"/>
                <w:sz w:val="24"/>
              </w:rPr>
            </w:pPr>
            <w:r w:rsidRPr="004A4DFD">
              <w:rPr>
                <w:rFonts w:ascii="仿宋_GB2312" w:hint="eastAsia"/>
                <w:sz w:val="24"/>
              </w:rPr>
              <w:t>国务院药品监督管理部门会同国务院卫生健康主管部门制定统一的疫苗追溯标准和规范，建立全国疫苗电子追溯协同平台，整合疫苗生产、流通和预防接种全过程追溯信息，实现疫苗可追溯。</w:t>
            </w:r>
          </w:p>
          <w:p w:rsidR="004A4DFD" w:rsidRPr="004A4DFD" w:rsidRDefault="004A4DFD" w:rsidP="004A4DFD">
            <w:pPr>
              <w:spacing w:line="280" w:lineRule="exact"/>
              <w:rPr>
                <w:rFonts w:ascii="仿宋_GB2312"/>
                <w:sz w:val="24"/>
              </w:rPr>
            </w:pPr>
            <w:r w:rsidRPr="004A4DFD">
              <w:rPr>
                <w:rFonts w:ascii="仿宋_GB2312" w:hint="eastAsia"/>
                <w:sz w:val="24"/>
              </w:rPr>
              <w:t>疫苗上市许可持有人应当建立疫苗电子追溯系统，与全国疫苗电子追溯协同平台相衔接，实现生产、流通和预防接种全过程最小包装单位疫苗可追溯、可核查。</w:t>
            </w:r>
          </w:p>
          <w:p w:rsidR="004A4DFD" w:rsidRDefault="004A4DFD" w:rsidP="004A4DFD">
            <w:pPr>
              <w:spacing w:line="280" w:lineRule="exact"/>
              <w:rPr>
                <w:rFonts w:ascii="仿宋_GB2312"/>
                <w:sz w:val="24"/>
              </w:rPr>
            </w:pPr>
            <w:r w:rsidRPr="004A4DFD">
              <w:rPr>
                <w:rFonts w:ascii="仿宋_GB2312" w:hint="eastAsia"/>
                <w:sz w:val="24"/>
              </w:rPr>
              <w:t>疾病预防控制机构、接种单位应当依法如实记录疫苗流通、预防接种等情况，并按照规定向全国疫苗电子追溯协同平台提供追溯信息。</w:t>
            </w:r>
          </w:p>
          <w:p w:rsidR="004A4DFD" w:rsidRPr="004A4DFD" w:rsidRDefault="004A4DFD" w:rsidP="004A4DFD">
            <w:pPr>
              <w:spacing w:line="280" w:lineRule="exact"/>
              <w:rPr>
                <w:rFonts w:ascii="仿宋_GB2312"/>
                <w:sz w:val="24"/>
              </w:rPr>
            </w:pPr>
            <w:r>
              <w:rPr>
                <w:rFonts w:ascii="仿宋_GB2312" w:hint="eastAsia"/>
                <w:sz w:val="24"/>
              </w:rPr>
              <w:t>3.</w:t>
            </w:r>
            <w:r w:rsidRPr="00F1628A">
              <w:rPr>
                <w:rFonts w:ascii="仿宋_GB2312" w:hint="eastAsia"/>
                <w:sz w:val="24"/>
              </w:rPr>
              <w:t>《中华人民共和国疫苗管理法》</w:t>
            </w:r>
            <w:r w:rsidRPr="004A4DFD">
              <w:rPr>
                <w:rFonts w:ascii="仿宋_GB2312" w:hint="eastAsia"/>
                <w:sz w:val="24"/>
              </w:rPr>
              <w:t>第二十三条　疫苗上市许可持有人的法定代表人、主要负责人应当具有良好的信用记录，生产管理负责人、质量管理负责人、质量受权人等关键岗位人员应当具有相关专业背景和从业经历。</w:t>
            </w:r>
          </w:p>
          <w:p w:rsidR="004A4DFD" w:rsidRDefault="004A4DFD" w:rsidP="004A4DFD">
            <w:pPr>
              <w:spacing w:line="280" w:lineRule="exact"/>
              <w:rPr>
                <w:rFonts w:ascii="仿宋_GB2312"/>
                <w:sz w:val="24"/>
              </w:rPr>
            </w:pPr>
            <w:r w:rsidRPr="004A4DFD">
              <w:rPr>
                <w:rFonts w:ascii="仿宋_GB2312" w:hint="eastAsia"/>
                <w:sz w:val="24"/>
              </w:rPr>
              <w:t>疫苗上市许可持有人应当加强对前款规定人员的培训和考核，及时将其任职和变更情况向省、自治区、直辖市人民政府药品监督管理部门报告。</w:t>
            </w:r>
          </w:p>
          <w:p w:rsidR="004A4DFD" w:rsidRPr="004A4DFD" w:rsidRDefault="004A4DFD" w:rsidP="004A4DFD">
            <w:pPr>
              <w:spacing w:line="280" w:lineRule="exact"/>
              <w:rPr>
                <w:rFonts w:ascii="仿宋_GB2312"/>
                <w:sz w:val="24"/>
              </w:rPr>
            </w:pPr>
            <w:r>
              <w:rPr>
                <w:rFonts w:ascii="仿宋_GB2312" w:hint="eastAsia"/>
                <w:sz w:val="24"/>
              </w:rPr>
              <w:t>4.</w:t>
            </w:r>
            <w:r w:rsidRPr="00F1628A">
              <w:rPr>
                <w:rFonts w:ascii="仿宋_GB2312" w:hint="eastAsia"/>
                <w:sz w:val="24"/>
              </w:rPr>
              <w:t>《中华人民共和国疫苗管理法》</w:t>
            </w:r>
            <w:r w:rsidRPr="004A4DFD">
              <w:rPr>
                <w:rFonts w:ascii="仿宋_GB2312" w:hint="eastAsia"/>
                <w:sz w:val="24"/>
              </w:rPr>
              <w:t>第五十四条　接种单位、医疗机构等发现疑似预防接种异常反应的，应当按照规定</w:t>
            </w:r>
            <w:proofErr w:type="gramStart"/>
            <w:r w:rsidRPr="004A4DFD">
              <w:rPr>
                <w:rFonts w:ascii="仿宋_GB2312" w:hint="eastAsia"/>
                <w:sz w:val="24"/>
              </w:rPr>
              <w:t>向疾病</w:t>
            </w:r>
            <w:proofErr w:type="gramEnd"/>
            <w:r w:rsidRPr="004A4DFD">
              <w:rPr>
                <w:rFonts w:ascii="仿宋_GB2312" w:hint="eastAsia"/>
                <w:sz w:val="24"/>
              </w:rPr>
              <w:t>预防控制机构报告。</w:t>
            </w:r>
          </w:p>
          <w:p w:rsidR="004A4DFD" w:rsidRPr="004A4DFD" w:rsidRDefault="004A4DFD" w:rsidP="004A4DFD">
            <w:pPr>
              <w:spacing w:line="280" w:lineRule="exact"/>
              <w:rPr>
                <w:rFonts w:ascii="仿宋_GB2312"/>
                <w:sz w:val="24"/>
              </w:rPr>
            </w:pPr>
            <w:r w:rsidRPr="004A4DFD">
              <w:rPr>
                <w:rFonts w:ascii="仿宋_GB2312" w:hint="eastAsia"/>
                <w:sz w:val="24"/>
              </w:rPr>
              <w:t>疫苗上市许可持有人应当设立专门机构，配备专职人员，主动收集、跟踪分析疑似预防接种异常反应，及时采取风险控制措施，将疑似预防接种异常反应</w:t>
            </w:r>
            <w:proofErr w:type="gramStart"/>
            <w:r w:rsidRPr="004A4DFD">
              <w:rPr>
                <w:rFonts w:ascii="仿宋_GB2312" w:hint="eastAsia"/>
                <w:sz w:val="24"/>
              </w:rPr>
              <w:t>向疾病</w:t>
            </w:r>
            <w:proofErr w:type="gramEnd"/>
            <w:r w:rsidRPr="004A4DFD">
              <w:rPr>
                <w:rFonts w:ascii="仿宋_GB2312" w:hint="eastAsia"/>
                <w:sz w:val="24"/>
              </w:rPr>
              <w:t>预防控制机构报告，将质量分析报告提交省、自治区、直辖市人民政府药品监督管理部门。</w:t>
            </w:r>
          </w:p>
          <w:p w:rsidR="004A4DFD" w:rsidRPr="004A4DFD" w:rsidRDefault="004A4DFD" w:rsidP="004A4DFD">
            <w:pPr>
              <w:spacing w:line="280" w:lineRule="exact"/>
              <w:rPr>
                <w:rFonts w:ascii="仿宋_GB2312"/>
                <w:sz w:val="24"/>
              </w:rPr>
            </w:pPr>
            <w:r>
              <w:rPr>
                <w:rFonts w:ascii="仿宋_GB2312" w:hint="eastAsia"/>
                <w:sz w:val="24"/>
              </w:rPr>
              <w:t>5.</w:t>
            </w:r>
            <w:r w:rsidRPr="00F1628A">
              <w:rPr>
                <w:rFonts w:ascii="仿宋_GB2312" w:hint="eastAsia"/>
                <w:sz w:val="24"/>
              </w:rPr>
              <w:t>《中华人民共和国疫苗管理法》</w:t>
            </w:r>
            <w:r w:rsidRPr="004A4DFD">
              <w:rPr>
                <w:rFonts w:ascii="仿宋_GB2312" w:hint="eastAsia"/>
                <w:sz w:val="24"/>
              </w:rPr>
              <w:t>第五十五条　对疑似预防接种异常反应，疾病预防控制机构应当按照规定及时报告，组织调查、诊断，并将调查、诊断结论告知受种者或者其监护人。对调查、诊断结论有争议的，可以根据国务院卫生健康主管部门制定的鉴定办法申请鉴定。</w:t>
            </w:r>
          </w:p>
          <w:p w:rsidR="004A4DFD" w:rsidRDefault="004A4DFD" w:rsidP="004A4DFD">
            <w:pPr>
              <w:spacing w:line="280" w:lineRule="exact"/>
              <w:rPr>
                <w:rFonts w:ascii="仿宋_GB2312"/>
                <w:sz w:val="24"/>
              </w:rPr>
            </w:pPr>
            <w:r w:rsidRPr="004A4DFD">
              <w:rPr>
                <w:rFonts w:ascii="仿宋_GB2312" w:hint="eastAsia"/>
                <w:sz w:val="24"/>
              </w:rPr>
              <w:t>因预防接种导致受种者死亡、严重残疾，或者群体性疑似预防接种异常反应等对社会有重大影响的疑似预防接种异常反应，由设区的市级以上人民政府卫生健康主管部门、药品监督管理部门按照各自职责组织调查、处理。</w:t>
            </w:r>
          </w:p>
          <w:p w:rsidR="004A4DFD" w:rsidRPr="004A4DFD" w:rsidRDefault="004A4DFD" w:rsidP="004A4DFD">
            <w:pPr>
              <w:spacing w:line="280" w:lineRule="exact"/>
              <w:rPr>
                <w:rFonts w:ascii="仿宋_GB2312"/>
                <w:sz w:val="24"/>
              </w:rPr>
            </w:pPr>
            <w:r>
              <w:rPr>
                <w:rFonts w:ascii="仿宋_GB2312" w:hint="eastAsia"/>
                <w:sz w:val="24"/>
              </w:rPr>
              <w:t>6.</w:t>
            </w:r>
            <w:r w:rsidRPr="00F1628A">
              <w:rPr>
                <w:rFonts w:ascii="仿宋_GB2312" w:hint="eastAsia"/>
                <w:sz w:val="24"/>
              </w:rPr>
              <w:t>《中华人民共和国疫苗管理法》</w:t>
            </w:r>
            <w:r w:rsidRPr="004A4DFD">
              <w:rPr>
                <w:rFonts w:ascii="仿宋_GB2312" w:hint="eastAsia"/>
                <w:sz w:val="24"/>
              </w:rPr>
              <w:t>第六十八条</w:t>
            </w:r>
            <w:r>
              <w:rPr>
                <w:rFonts w:ascii="仿宋_GB2312" w:hint="eastAsia"/>
                <w:sz w:val="24"/>
              </w:rPr>
              <w:t>第一款</w:t>
            </w:r>
            <w:r w:rsidRPr="004A4DFD">
              <w:rPr>
                <w:rFonts w:ascii="仿宋_GB2312" w:hint="eastAsia"/>
                <w:sz w:val="24"/>
              </w:rPr>
              <w:t xml:space="preserve">　国家实行疫苗责任强制保险制度。</w:t>
            </w:r>
          </w:p>
          <w:p w:rsidR="004A4DFD" w:rsidRPr="004A4DFD" w:rsidRDefault="004A4DFD" w:rsidP="004A4DFD">
            <w:pPr>
              <w:spacing w:line="280" w:lineRule="exact"/>
              <w:rPr>
                <w:rFonts w:ascii="仿宋_GB2312"/>
                <w:sz w:val="24"/>
              </w:rPr>
            </w:pPr>
            <w:r>
              <w:rPr>
                <w:rFonts w:ascii="仿宋_GB2312" w:hint="eastAsia"/>
                <w:sz w:val="24"/>
              </w:rPr>
              <w:t xml:space="preserve">第二款 </w:t>
            </w:r>
            <w:r w:rsidRPr="004A4DFD">
              <w:rPr>
                <w:rFonts w:ascii="仿宋_GB2312" w:hint="eastAsia"/>
                <w:sz w:val="24"/>
              </w:rPr>
              <w:t>疫苗上市许可持有人应当按照规定投保疫苗责任强制保险。因疫苗质量问题造成受种者损害的，保险公司在承保的责任限额内予以赔付。</w:t>
            </w:r>
          </w:p>
          <w:p w:rsidR="004A4DFD" w:rsidRPr="004A4DFD" w:rsidRDefault="004A4DFD" w:rsidP="004A4DFD">
            <w:pPr>
              <w:spacing w:line="280" w:lineRule="exact"/>
              <w:rPr>
                <w:rFonts w:ascii="仿宋_GB2312"/>
                <w:sz w:val="24"/>
              </w:rPr>
            </w:pPr>
            <w:r>
              <w:rPr>
                <w:rFonts w:ascii="仿宋_GB2312" w:hint="eastAsia"/>
                <w:sz w:val="24"/>
              </w:rPr>
              <w:t>7.</w:t>
            </w:r>
            <w:r w:rsidRPr="00F1628A">
              <w:rPr>
                <w:rFonts w:ascii="仿宋_GB2312" w:hint="eastAsia"/>
                <w:sz w:val="24"/>
              </w:rPr>
              <w:t>《中华人民共和国疫苗管理法》</w:t>
            </w:r>
            <w:r w:rsidRPr="004A4DFD">
              <w:rPr>
                <w:rFonts w:ascii="仿宋_GB2312" w:hint="eastAsia"/>
                <w:sz w:val="24"/>
              </w:rPr>
              <w:t>第七十四条　疫苗上市许可持有人应当建立信息公开制度，按照规定在其网站上及时公开疫苗产品信息、说明书和标签、药品相关质量管理规范执行情况、批签发情况、召回情况、接受检查和处罚情况以及投保疫苗责任强制保险情况等信息。</w:t>
            </w:r>
          </w:p>
        </w:tc>
      </w:tr>
      <w:tr w:rsidR="0053754F" w:rsidTr="004A4DFD">
        <w:trPr>
          <w:trHeight w:val="1057"/>
        </w:trPr>
        <w:tc>
          <w:tcPr>
            <w:tcW w:w="1234" w:type="dxa"/>
            <w:vAlign w:val="center"/>
          </w:tcPr>
          <w:p w:rsidR="0053754F" w:rsidRDefault="0053754F" w:rsidP="004A4DFD">
            <w:pPr>
              <w:jc w:val="center"/>
            </w:pPr>
            <w:r w:rsidRPr="00F1628A">
              <w:rPr>
                <w:rFonts w:ascii="仿宋_GB2312" w:hint="eastAsia"/>
                <w:sz w:val="24"/>
              </w:rPr>
              <w:lastRenderedPageBreak/>
              <w:t>处罚依据</w:t>
            </w:r>
          </w:p>
        </w:tc>
        <w:tc>
          <w:tcPr>
            <w:tcW w:w="8122" w:type="dxa"/>
            <w:gridSpan w:val="3"/>
          </w:tcPr>
          <w:p w:rsidR="0053754F" w:rsidRPr="00F1628A" w:rsidRDefault="0053754F" w:rsidP="004A4DFD">
            <w:pPr>
              <w:spacing w:line="280" w:lineRule="exact"/>
              <w:rPr>
                <w:rFonts w:ascii="仿宋_GB2312"/>
                <w:sz w:val="24"/>
              </w:rPr>
            </w:pPr>
            <w:r w:rsidRPr="00F1628A">
              <w:rPr>
                <w:rFonts w:ascii="仿宋_GB2312" w:hint="eastAsia"/>
                <w:sz w:val="24"/>
              </w:rPr>
              <w:t>《中华人民共和国疫苗管理法》第八十三条：违反本法规定，疫苗上市许可持有人有下列情形之一的，由省级以上人民政府药品监督管理部门责令改正，给予警告；拒不改正的，处二十万元以上五十万元以下的罚款；情节严重的，责令停产停业整顿，并处五十万元以上二百万元以下的罚款</w:t>
            </w:r>
            <w:r>
              <w:rPr>
                <w:rFonts w:ascii="仿宋_GB2312" w:hint="eastAsia"/>
                <w:sz w:val="24"/>
              </w:rPr>
              <w:t>。</w:t>
            </w:r>
          </w:p>
        </w:tc>
      </w:tr>
      <w:tr w:rsidR="0053754F" w:rsidTr="004A4DFD">
        <w:tc>
          <w:tcPr>
            <w:tcW w:w="1234" w:type="dxa"/>
            <w:vAlign w:val="center"/>
          </w:tcPr>
          <w:p w:rsidR="0053754F" w:rsidRDefault="0053754F" w:rsidP="004A4DFD">
            <w:pPr>
              <w:jc w:val="center"/>
            </w:pPr>
            <w:r w:rsidRPr="00F1628A">
              <w:rPr>
                <w:rFonts w:ascii="仿宋_GB2312" w:hint="eastAsia"/>
                <w:sz w:val="24"/>
              </w:rPr>
              <w:t>处罚种类</w:t>
            </w:r>
          </w:p>
        </w:tc>
        <w:tc>
          <w:tcPr>
            <w:tcW w:w="8122" w:type="dxa"/>
            <w:gridSpan w:val="3"/>
          </w:tcPr>
          <w:p w:rsidR="0053754F" w:rsidRPr="00F1628A" w:rsidRDefault="0053754F" w:rsidP="004A4DFD">
            <w:pPr>
              <w:spacing w:line="280" w:lineRule="exact"/>
              <w:rPr>
                <w:rFonts w:ascii="仿宋_GB2312"/>
                <w:sz w:val="24"/>
              </w:rPr>
            </w:pPr>
            <w:r w:rsidRPr="00F1628A">
              <w:rPr>
                <w:rFonts w:ascii="仿宋_GB2312" w:hint="eastAsia"/>
                <w:sz w:val="24"/>
              </w:rPr>
              <w:t>警告；</w:t>
            </w:r>
          </w:p>
          <w:p w:rsidR="0053754F" w:rsidRPr="00F1628A" w:rsidRDefault="0053754F" w:rsidP="004A4DFD">
            <w:pPr>
              <w:spacing w:line="280" w:lineRule="exact"/>
              <w:rPr>
                <w:rFonts w:ascii="仿宋_GB2312"/>
                <w:sz w:val="24"/>
              </w:rPr>
            </w:pPr>
            <w:r w:rsidRPr="00F1628A">
              <w:rPr>
                <w:rFonts w:ascii="仿宋_GB2312" w:hint="eastAsia"/>
                <w:sz w:val="24"/>
              </w:rPr>
              <w:t>罚款；</w:t>
            </w:r>
          </w:p>
          <w:p w:rsidR="0053754F" w:rsidRPr="00F1628A" w:rsidRDefault="0053754F" w:rsidP="004A4DFD">
            <w:pPr>
              <w:spacing w:line="280" w:lineRule="exact"/>
              <w:rPr>
                <w:rFonts w:ascii="仿宋_GB2312"/>
                <w:sz w:val="24"/>
              </w:rPr>
            </w:pPr>
            <w:r w:rsidRPr="00F1628A">
              <w:rPr>
                <w:rFonts w:ascii="仿宋_GB2312" w:hint="eastAsia"/>
                <w:sz w:val="24"/>
              </w:rPr>
              <w:t>责令停产停业。</w:t>
            </w:r>
          </w:p>
        </w:tc>
      </w:tr>
      <w:tr w:rsidR="0053754F" w:rsidTr="004A4DFD">
        <w:tc>
          <w:tcPr>
            <w:tcW w:w="1234" w:type="dxa"/>
            <w:vAlign w:val="center"/>
          </w:tcPr>
          <w:p w:rsidR="0053754F" w:rsidRDefault="0053754F" w:rsidP="004A4DFD">
            <w:pPr>
              <w:jc w:val="center"/>
            </w:pPr>
            <w:r w:rsidRPr="00F1628A">
              <w:rPr>
                <w:rFonts w:ascii="仿宋_GB2312" w:hint="eastAsia"/>
                <w:sz w:val="24"/>
              </w:rPr>
              <w:t>实施主体</w:t>
            </w:r>
          </w:p>
        </w:tc>
        <w:tc>
          <w:tcPr>
            <w:tcW w:w="8122" w:type="dxa"/>
            <w:gridSpan w:val="3"/>
          </w:tcPr>
          <w:p w:rsidR="0053754F" w:rsidRPr="00F1628A" w:rsidRDefault="0053754F" w:rsidP="004A4DFD">
            <w:pPr>
              <w:spacing w:line="280" w:lineRule="exact"/>
              <w:rPr>
                <w:rFonts w:ascii="仿宋_GB2312"/>
                <w:sz w:val="24"/>
              </w:rPr>
            </w:pPr>
            <w:r w:rsidRPr="00F1628A">
              <w:rPr>
                <w:rFonts w:ascii="仿宋_GB2312" w:hint="eastAsia"/>
                <w:sz w:val="24"/>
              </w:rPr>
              <w:t>省级以上人民政府药品监督管理部门。</w:t>
            </w:r>
          </w:p>
        </w:tc>
      </w:tr>
      <w:tr w:rsidR="0053754F" w:rsidTr="004A4DFD">
        <w:tc>
          <w:tcPr>
            <w:tcW w:w="1234" w:type="dxa"/>
            <w:vAlign w:val="center"/>
          </w:tcPr>
          <w:p w:rsidR="0053754F" w:rsidRDefault="0053754F" w:rsidP="004A4DFD">
            <w:pPr>
              <w:jc w:val="center"/>
            </w:pPr>
            <w:r w:rsidRPr="00F1628A">
              <w:rPr>
                <w:rFonts w:ascii="仿宋_GB2312" w:hint="eastAsia"/>
                <w:sz w:val="24"/>
              </w:rPr>
              <w:t>裁量范围</w:t>
            </w:r>
          </w:p>
        </w:tc>
        <w:tc>
          <w:tcPr>
            <w:tcW w:w="8122" w:type="dxa"/>
            <w:gridSpan w:val="3"/>
          </w:tcPr>
          <w:p w:rsidR="0053754F" w:rsidRPr="00F1628A" w:rsidRDefault="0053754F" w:rsidP="004A4DFD">
            <w:pPr>
              <w:spacing w:line="280" w:lineRule="exact"/>
              <w:rPr>
                <w:rFonts w:ascii="仿宋_GB2312"/>
                <w:sz w:val="24"/>
              </w:rPr>
            </w:pPr>
            <w:r w:rsidRPr="00F1628A">
              <w:rPr>
                <w:rFonts w:ascii="仿宋_GB2312" w:hint="eastAsia"/>
                <w:sz w:val="24"/>
              </w:rPr>
              <w:t>拒不改正的，处二十万元以上五十万元以下的罚款；</w:t>
            </w:r>
          </w:p>
          <w:p w:rsidR="0053754F" w:rsidRPr="00F1628A" w:rsidRDefault="0053754F" w:rsidP="004A4DFD">
            <w:pPr>
              <w:spacing w:line="280" w:lineRule="exact"/>
              <w:rPr>
                <w:rFonts w:ascii="仿宋_GB2312"/>
                <w:sz w:val="24"/>
              </w:rPr>
            </w:pPr>
            <w:r w:rsidRPr="00F1628A">
              <w:rPr>
                <w:rFonts w:ascii="仿宋_GB2312" w:hint="eastAsia"/>
                <w:sz w:val="24"/>
              </w:rPr>
              <w:t>情节严重的，处五十万元以上二百万元以下的罚款。</w:t>
            </w:r>
          </w:p>
        </w:tc>
      </w:tr>
      <w:tr w:rsidR="009C5D2B" w:rsidTr="004A4DFD">
        <w:trPr>
          <w:trHeight w:val="322"/>
        </w:trPr>
        <w:tc>
          <w:tcPr>
            <w:tcW w:w="1234" w:type="dxa"/>
            <w:vAlign w:val="center"/>
          </w:tcPr>
          <w:p w:rsidR="009C5D2B" w:rsidRDefault="009C5D2B" w:rsidP="004A4DFD">
            <w:pPr>
              <w:jc w:val="center"/>
            </w:pPr>
            <w:r>
              <w:rPr>
                <w:rFonts w:ascii="仿宋_GB2312" w:hint="eastAsia"/>
                <w:sz w:val="24"/>
              </w:rPr>
              <w:t>违法主体</w:t>
            </w:r>
          </w:p>
        </w:tc>
        <w:tc>
          <w:tcPr>
            <w:tcW w:w="1284" w:type="dxa"/>
          </w:tcPr>
          <w:p w:rsidR="009C5D2B" w:rsidRPr="00700F08" w:rsidRDefault="009C5D2B" w:rsidP="004A4DFD">
            <w:pPr>
              <w:jc w:val="center"/>
            </w:pPr>
            <w:r>
              <w:rPr>
                <w:rFonts w:ascii="仿宋_GB2312" w:hint="eastAsia"/>
                <w:sz w:val="24"/>
              </w:rPr>
              <w:t>适用情形</w:t>
            </w:r>
          </w:p>
        </w:tc>
        <w:tc>
          <w:tcPr>
            <w:tcW w:w="4332" w:type="dxa"/>
          </w:tcPr>
          <w:p w:rsidR="009C5D2B" w:rsidRDefault="009C5D2B" w:rsidP="004A4DFD">
            <w:pPr>
              <w:jc w:val="center"/>
            </w:pPr>
            <w:r w:rsidRPr="00F1628A">
              <w:rPr>
                <w:rFonts w:ascii="仿宋_GB2312" w:hint="eastAsia"/>
                <w:sz w:val="24"/>
              </w:rPr>
              <w:t>裁</w:t>
            </w:r>
            <w:proofErr w:type="gramStart"/>
            <w:r w:rsidRPr="00F1628A">
              <w:rPr>
                <w:rFonts w:ascii="仿宋_GB2312" w:hint="eastAsia"/>
                <w:sz w:val="24"/>
              </w:rPr>
              <w:t>量因素</w:t>
            </w:r>
            <w:proofErr w:type="gramEnd"/>
          </w:p>
        </w:tc>
        <w:tc>
          <w:tcPr>
            <w:tcW w:w="2506" w:type="dxa"/>
          </w:tcPr>
          <w:p w:rsidR="009C5D2B" w:rsidRDefault="009C5D2B" w:rsidP="004A4DFD">
            <w:pPr>
              <w:jc w:val="center"/>
            </w:pPr>
            <w:r w:rsidRPr="00F1628A">
              <w:rPr>
                <w:rFonts w:ascii="仿宋_GB2312" w:hint="eastAsia"/>
                <w:sz w:val="24"/>
              </w:rPr>
              <w:t>裁量基准</w:t>
            </w:r>
          </w:p>
        </w:tc>
      </w:tr>
      <w:tr w:rsidR="00815D6D" w:rsidTr="005B79EA">
        <w:trPr>
          <w:trHeight w:val="692"/>
        </w:trPr>
        <w:tc>
          <w:tcPr>
            <w:tcW w:w="1234" w:type="dxa"/>
            <w:vMerge w:val="restart"/>
            <w:vAlign w:val="center"/>
          </w:tcPr>
          <w:p w:rsidR="00815D6D" w:rsidRDefault="00815D6D" w:rsidP="00815D6D">
            <w:pPr>
              <w:jc w:val="center"/>
              <w:rPr>
                <w:rFonts w:ascii="仿宋_GB2312"/>
                <w:sz w:val="24"/>
              </w:rPr>
            </w:pPr>
            <w:r>
              <w:rPr>
                <w:rFonts w:ascii="仿宋_GB2312" w:hint="eastAsia"/>
                <w:sz w:val="24"/>
              </w:rPr>
              <w:t>疫苗</w:t>
            </w:r>
            <w:r>
              <w:rPr>
                <w:rFonts w:ascii="仿宋_GB2312"/>
                <w:sz w:val="24"/>
              </w:rPr>
              <w:t>上市许可持有人</w:t>
            </w:r>
          </w:p>
        </w:tc>
        <w:tc>
          <w:tcPr>
            <w:tcW w:w="1284" w:type="dxa"/>
            <w:vAlign w:val="center"/>
          </w:tcPr>
          <w:p w:rsidR="00815D6D" w:rsidRPr="00F1628A" w:rsidRDefault="00815D6D" w:rsidP="00815D6D">
            <w:pPr>
              <w:spacing w:line="360" w:lineRule="exact"/>
              <w:jc w:val="center"/>
              <w:rPr>
                <w:rFonts w:ascii="仿宋_GB2312"/>
                <w:sz w:val="24"/>
              </w:rPr>
            </w:pPr>
            <w:r>
              <w:rPr>
                <w:rFonts w:ascii="仿宋_GB2312" w:hint="eastAsia"/>
                <w:sz w:val="24"/>
              </w:rPr>
              <w:t>基本罚</w:t>
            </w:r>
          </w:p>
        </w:tc>
        <w:tc>
          <w:tcPr>
            <w:tcW w:w="4332" w:type="dxa"/>
            <w:vAlign w:val="center"/>
          </w:tcPr>
          <w:p w:rsidR="00815D6D" w:rsidRDefault="00815D6D" w:rsidP="00815D6D">
            <w:r>
              <w:rPr>
                <w:rFonts w:ascii="仿宋_GB2312" w:hint="eastAsia"/>
                <w:sz w:val="24"/>
              </w:rPr>
              <w:t>不符合从轻、减轻或从重情形的</w:t>
            </w:r>
          </w:p>
        </w:tc>
        <w:tc>
          <w:tcPr>
            <w:tcW w:w="2506" w:type="dxa"/>
            <w:vAlign w:val="center"/>
          </w:tcPr>
          <w:p w:rsidR="00815D6D" w:rsidRPr="00F1628A" w:rsidRDefault="00815D6D" w:rsidP="00815D6D">
            <w:pPr>
              <w:spacing w:line="360" w:lineRule="exact"/>
              <w:rPr>
                <w:rFonts w:ascii="仿宋_GB2312"/>
                <w:sz w:val="24"/>
              </w:rPr>
            </w:pPr>
            <w:r>
              <w:rPr>
                <w:rFonts w:ascii="仿宋_GB2312" w:hint="eastAsia"/>
                <w:sz w:val="24"/>
              </w:rPr>
              <w:t>29</w:t>
            </w:r>
            <w:r w:rsidRPr="00F1628A">
              <w:rPr>
                <w:rFonts w:ascii="仿宋_GB2312" w:hint="eastAsia"/>
                <w:sz w:val="24"/>
              </w:rPr>
              <w:t>万元以上</w:t>
            </w:r>
            <w:r>
              <w:rPr>
                <w:rFonts w:ascii="仿宋_GB2312" w:hint="eastAsia"/>
                <w:sz w:val="24"/>
              </w:rPr>
              <w:t>41</w:t>
            </w:r>
            <w:r w:rsidRPr="00F1628A">
              <w:rPr>
                <w:rFonts w:ascii="仿宋_GB2312" w:hint="eastAsia"/>
                <w:sz w:val="24"/>
              </w:rPr>
              <w:t>万元以下罚款</w:t>
            </w:r>
          </w:p>
          <w:p w:rsidR="00815D6D" w:rsidRPr="00F1628A" w:rsidRDefault="00815D6D" w:rsidP="00815D6D">
            <w:pPr>
              <w:spacing w:line="360" w:lineRule="exact"/>
              <w:rPr>
                <w:rFonts w:ascii="仿宋_GB2312"/>
                <w:sz w:val="24"/>
              </w:rPr>
            </w:pPr>
            <w:r>
              <w:rPr>
                <w:rFonts w:ascii="仿宋_GB2312" w:hint="eastAsia"/>
                <w:sz w:val="24"/>
              </w:rPr>
              <w:t>情节严重</w:t>
            </w:r>
            <w:r w:rsidRPr="00F1628A">
              <w:rPr>
                <w:rFonts w:ascii="仿宋_GB2312" w:hint="eastAsia"/>
                <w:sz w:val="24"/>
              </w:rPr>
              <w:t>：</w:t>
            </w:r>
            <w:r>
              <w:rPr>
                <w:rFonts w:ascii="仿宋_GB2312" w:hint="eastAsia"/>
                <w:sz w:val="24"/>
              </w:rPr>
              <w:t>95</w:t>
            </w:r>
            <w:r w:rsidRPr="00F1628A">
              <w:rPr>
                <w:rFonts w:ascii="仿宋_GB2312" w:hint="eastAsia"/>
                <w:sz w:val="24"/>
              </w:rPr>
              <w:t>万元以上</w:t>
            </w:r>
            <w:r>
              <w:rPr>
                <w:rFonts w:ascii="仿宋_GB2312" w:hint="eastAsia"/>
                <w:sz w:val="24"/>
              </w:rPr>
              <w:t>155</w:t>
            </w:r>
            <w:r w:rsidRPr="00F1628A">
              <w:rPr>
                <w:rFonts w:ascii="仿宋_GB2312" w:hint="eastAsia"/>
                <w:sz w:val="24"/>
              </w:rPr>
              <w:t>万元以下罚款</w:t>
            </w:r>
          </w:p>
        </w:tc>
      </w:tr>
      <w:tr w:rsidR="00815D6D" w:rsidTr="004A4DFD">
        <w:trPr>
          <w:trHeight w:val="510"/>
        </w:trPr>
        <w:tc>
          <w:tcPr>
            <w:tcW w:w="1234" w:type="dxa"/>
            <w:vMerge/>
            <w:vAlign w:val="center"/>
          </w:tcPr>
          <w:p w:rsidR="00815D6D" w:rsidRDefault="00815D6D" w:rsidP="00815D6D">
            <w:pPr>
              <w:jc w:val="center"/>
              <w:rPr>
                <w:rFonts w:ascii="仿宋_GB2312"/>
                <w:sz w:val="24"/>
              </w:rPr>
            </w:pPr>
          </w:p>
        </w:tc>
        <w:tc>
          <w:tcPr>
            <w:tcW w:w="1284" w:type="dxa"/>
            <w:vAlign w:val="center"/>
          </w:tcPr>
          <w:p w:rsidR="00815D6D" w:rsidRPr="00F1628A" w:rsidRDefault="00815D6D" w:rsidP="00815D6D">
            <w:pPr>
              <w:spacing w:line="360" w:lineRule="exact"/>
              <w:jc w:val="center"/>
              <w:rPr>
                <w:rFonts w:ascii="仿宋_GB2312"/>
                <w:sz w:val="24"/>
              </w:rPr>
            </w:pPr>
            <w:r w:rsidRPr="00F1628A">
              <w:rPr>
                <w:rFonts w:ascii="仿宋_GB2312" w:hint="eastAsia"/>
                <w:sz w:val="24"/>
              </w:rPr>
              <w:t>从轻</w:t>
            </w:r>
          </w:p>
        </w:tc>
        <w:tc>
          <w:tcPr>
            <w:tcW w:w="4332" w:type="dxa"/>
          </w:tcPr>
          <w:p w:rsidR="00815D6D" w:rsidRDefault="00815D6D" w:rsidP="00815D6D">
            <w:pPr>
              <w:rPr>
                <w:sz w:val="24"/>
              </w:rPr>
            </w:pPr>
            <w:r>
              <w:rPr>
                <w:rFonts w:hint="eastAsia"/>
                <w:sz w:val="24"/>
              </w:rPr>
              <w:t>1.</w:t>
            </w:r>
            <w:r w:rsidRPr="00815D6D">
              <w:rPr>
                <w:rFonts w:hint="eastAsia"/>
                <w:sz w:val="24"/>
              </w:rPr>
              <w:t>初次实施违法行为，危害后果轻微的；</w:t>
            </w:r>
          </w:p>
          <w:p w:rsidR="00815D6D" w:rsidRDefault="00815D6D" w:rsidP="00815D6D">
            <w:pPr>
              <w:rPr>
                <w:rFonts w:hint="eastAsia"/>
                <w:sz w:val="24"/>
              </w:rPr>
            </w:pPr>
            <w:r>
              <w:rPr>
                <w:rFonts w:hint="eastAsia"/>
                <w:sz w:val="24"/>
              </w:rPr>
              <w:t>2.</w:t>
            </w:r>
            <w:r w:rsidRPr="00815D6D">
              <w:rPr>
                <w:rFonts w:hint="eastAsia"/>
                <w:sz w:val="24"/>
              </w:rPr>
              <w:t>药品监督管理部门发现违法行为前，主动投案并如实交代违法行为的；</w:t>
            </w:r>
          </w:p>
          <w:p w:rsidR="00815D6D" w:rsidRPr="00E6218C" w:rsidRDefault="00815D6D" w:rsidP="00815D6D">
            <w:pPr>
              <w:rPr>
                <w:sz w:val="24"/>
              </w:rPr>
            </w:pPr>
            <w:r>
              <w:rPr>
                <w:rFonts w:hint="eastAsia"/>
                <w:sz w:val="24"/>
              </w:rPr>
              <w:t>3.</w:t>
            </w: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》从</w:t>
            </w:r>
            <w:r w:rsidRPr="00E520F9">
              <w:rPr>
                <w:rFonts w:hint="eastAsia"/>
                <w:sz w:val="24"/>
              </w:rPr>
              <w:t>轻行政处罚情形的。</w:t>
            </w:r>
          </w:p>
        </w:tc>
        <w:tc>
          <w:tcPr>
            <w:tcW w:w="2506" w:type="dxa"/>
            <w:vAlign w:val="center"/>
          </w:tcPr>
          <w:p w:rsidR="00815D6D" w:rsidRPr="00F1628A" w:rsidRDefault="00815D6D" w:rsidP="00815D6D">
            <w:pPr>
              <w:spacing w:line="360" w:lineRule="exact"/>
              <w:rPr>
                <w:rFonts w:ascii="仿宋_GB2312"/>
                <w:sz w:val="24"/>
              </w:rPr>
            </w:pPr>
            <w:r>
              <w:rPr>
                <w:rFonts w:ascii="仿宋_GB2312" w:hint="eastAsia"/>
                <w:sz w:val="24"/>
              </w:rPr>
              <w:t>20</w:t>
            </w:r>
            <w:r w:rsidRPr="00F1628A">
              <w:rPr>
                <w:rFonts w:ascii="仿宋_GB2312" w:hint="eastAsia"/>
                <w:sz w:val="24"/>
              </w:rPr>
              <w:t>万元以上</w:t>
            </w:r>
            <w:r>
              <w:rPr>
                <w:rFonts w:ascii="仿宋_GB2312" w:hint="eastAsia"/>
                <w:sz w:val="24"/>
              </w:rPr>
              <w:t>29</w:t>
            </w:r>
            <w:r w:rsidRPr="00F1628A">
              <w:rPr>
                <w:rFonts w:ascii="仿宋_GB2312" w:hint="eastAsia"/>
                <w:sz w:val="24"/>
              </w:rPr>
              <w:t>万元以下罚款</w:t>
            </w:r>
          </w:p>
          <w:p w:rsidR="00815D6D" w:rsidRPr="00F1628A" w:rsidRDefault="00815D6D" w:rsidP="00815D6D">
            <w:pPr>
              <w:spacing w:line="360" w:lineRule="exact"/>
              <w:rPr>
                <w:rFonts w:ascii="仿宋_GB2312"/>
                <w:sz w:val="24"/>
              </w:rPr>
            </w:pPr>
            <w:r>
              <w:rPr>
                <w:rFonts w:ascii="仿宋_GB2312" w:hint="eastAsia"/>
                <w:sz w:val="24"/>
              </w:rPr>
              <w:t>情节严重</w:t>
            </w:r>
            <w:r w:rsidRPr="00F1628A">
              <w:rPr>
                <w:rFonts w:ascii="仿宋_GB2312" w:hint="eastAsia"/>
                <w:sz w:val="24"/>
              </w:rPr>
              <w:t>：</w:t>
            </w:r>
            <w:r>
              <w:rPr>
                <w:rFonts w:ascii="仿宋_GB2312" w:hint="eastAsia"/>
                <w:sz w:val="24"/>
              </w:rPr>
              <w:t>50</w:t>
            </w:r>
            <w:r w:rsidRPr="00F1628A">
              <w:rPr>
                <w:rFonts w:ascii="仿宋_GB2312" w:hint="eastAsia"/>
                <w:sz w:val="24"/>
              </w:rPr>
              <w:t>万元以上</w:t>
            </w:r>
            <w:r>
              <w:rPr>
                <w:rFonts w:ascii="仿宋_GB2312" w:hint="eastAsia"/>
                <w:sz w:val="24"/>
              </w:rPr>
              <w:t>95</w:t>
            </w:r>
            <w:r w:rsidRPr="00F1628A">
              <w:rPr>
                <w:rFonts w:ascii="仿宋_GB2312" w:hint="eastAsia"/>
                <w:sz w:val="24"/>
              </w:rPr>
              <w:t>万元以下罚款</w:t>
            </w:r>
          </w:p>
        </w:tc>
      </w:tr>
      <w:tr w:rsidR="00815D6D" w:rsidTr="004A4DFD">
        <w:trPr>
          <w:trHeight w:val="390"/>
        </w:trPr>
        <w:tc>
          <w:tcPr>
            <w:tcW w:w="1234" w:type="dxa"/>
            <w:vMerge/>
            <w:vAlign w:val="center"/>
          </w:tcPr>
          <w:p w:rsidR="00815D6D" w:rsidRDefault="00815D6D" w:rsidP="00815D6D">
            <w:pPr>
              <w:jc w:val="center"/>
              <w:rPr>
                <w:rFonts w:ascii="仿宋_GB2312"/>
                <w:sz w:val="24"/>
              </w:rPr>
            </w:pPr>
          </w:p>
        </w:tc>
        <w:tc>
          <w:tcPr>
            <w:tcW w:w="1284" w:type="dxa"/>
            <w:vAlign w:val="center"/>
          </w:tcPr>
          <w:p w:rsidR="00815D6D" w:rsidRPr="00F1628A" w:rsidRDefault="00815D6D" w:rsidP="00815D6D">
            <w:pPr>
              <w:spacing w:line="360" w:lineRule="exact"/>
              <w:jc w:val="center"/>
              <w:rPr>
                <w:rFonts w:ascii="仿宋_GB2312"/>
                <w:sz w:val="24"/>
              </w:rPr>
            </w:pPr>
            <w:r w:rsidRPr="00F1628A">
              <w:rPr>
                <w:rFonts w:ascii="仿宋_GB2312" w:hint="eastAsia"/>
                <w:sz w:val="24"/>
              </w:rPr>
              <w:t>减轻</w:t>
            </w:r>
          </w:p>
        </w:tc>
        <w:tc>
          <w:tcPr>
            <w:tcW w:w="4332" w:type="dxa"/>
          </w:tcPr>
          <w:p w:rsidR="00815D6D" w:rsidRDefault="00CD1A41" w:rsidP="00815D6D">
            <w:pPr>
              <w:rPr>
                <w:sz w:val="24"/>
              </w:rPr>
            </w:pPr>
            <w:r>
              <w:rPr>
                <w:rFonts w:hint="eastAsia"/>
                <w:sz w:val="24"/>
              </w:rPr>
              <w:t>1.</w:t>
            </w:r>
            <w:r w:rsidR="00815D6D" w:rsidRPr="00E520F9">
              <w:rPr>
                <w:rFonts w:hint="eastAsia"/>
                <w:sz w:val="24"/>
              </w:rPr>
              <w:t>符合《河北省市场监督管理行政处罚裁量权适用规则》</w:t>
            </w:r>
            <w:r w:rsidR="00815D6D">
              <w:rPr>
                <w:rFonts w:hint="eastAsia"/>
                <w:sz w:val="24"/>
              </w:rPr>
              <w:t>及《</w:t>
            </w:r>
            <w:r w:rsidR="00815D6D" w:rsidRPr="0020442D">
              <w:rPr>
                <w:rFonts w:hint="eastAsia"/>
                <w:bCs/>
                <w:sz w:val="24"/>
              </w:rPr>
              <w:t>河北省药品行政处罚裁量适用情形</w:t>
            </w:r>
            <w:r w:rsidR="00815D6D">
              <w:rPr>
                <w:rFonts w:hint="eastAsia"/>
                <w:sz w:val="24"/>
              </w:rPr>
              <w:t>》</w:t>
            </w:r>
            <w:r w:rsidR="00815D6D" w:rsidRPr="00E520F9">
              <w:rPr>
                <w:rFonts w:hint="eastAsia"/>
                <w:sz w:val="24"/>
              </w:rPr>
              <w:t>减轻行政处罚情形的</w:t>
            </w:r>
            <w:r w:rsidR="00815D6D">
              <w:rPr>
                <w:rFonts w:hint="eastAsia"/>
                <w:sz w:val="24"/>
              </w:rPr>
              <w:t>；</w:t>
            </w:r>
          </w:p>
          <w:p w:rsidR="00815D6D" w:rsidRPr="00E520F9" w:rsidRDefault="00CD1A41" w:rsidP="00815D6D">
            <w:pPr>
              <w:rPr>
                <w:sz w:val="24"/>
              </w:rPr>
            </w:pPr>
            <w:r>
              <w:rPr>
                <w:rFonts w:hint="eastAsia"/>
                <w:sz w:val="24"/>
              </w:rPr>
              <w:t>2.</w:t>
            </w:r>
            <w:r w:rsidR="00815D6D">
              <w:rPr>
                <w:rFonts w:hint="eastAsia"/>
                <w:sz w:val="24"/>
              </w:rPr>
              <w:t>情节严重不适用</w:t>
            </w:r>
            <w:r w:rsidR="00815D6D" w:rsidRPr="00E520F9">
              <w:rPr>
                <w:rFonts w:hint="eastAsia"/>
                <w:sz w:val="24"/>
              </w:rPr>
              <w:t>。</w:t>
            </w:r>
          </w:p>
        </w:tc>
        <w:tc>
          <w:tcPr>
            <w:tcW w:w="2506" w:type="dxa"/>
            <w:vAlign w:val="center"/>
          </w:tcPr>
          <w:p w:rsidR="00815D6D" w:rsidRPr="00F1628A" w:rsidRDefault="00815D6D" w:rsidP="00815D6D">
            <w:pPr>
              <w:spacing w:line="360" w:lineRule="exact"/>
              <w:rPr>
                <w:rFonts w:ascii="仿宋_GB2312"/>
                <w:sz w:val="24"/>
              </w:rPr>
            </w:pPr>
            <w:r>
              <w:rPr>
                <w:rFonts w:ascii="仿宋_GB2312" w:hint="eastAsia"/>
                <w:sz w:val="24"/>
              </w:rPr>
              <w:t>2</w:t>
            </w:r>
            <w:r w:rsidRPr="00F1628A">
              <w:rPr>
                <w:rFonts w:ascii="仿宋_GB2312" w:hint="eastAsia"/>
                <w:sz w:val="24"/>
              </w:rPr>
              <w:t>万元以上</w:t>
            </w:r>
            <w:r>
              <w:rPr>
                <w:rFonts w:ascii="仿宋_GB2312" w:hint="eastAsia"/>
                <w:sz w:val="24"/>
              </w:rPr>
              <w:t>20</w:t>
            </w:r>
            <w:r w:rsidRPr="00F1628A">
              <w:rPr>
                <w:rFonts w:ascii="仿宋_GB2312" w:hint="eastAsia"/>
                <w:sz w:val="24"/>
              </w:rPr>
              <w:t>万元以下罚款</w:t>
            </w:r>
          </w:p>
        </w:tc>
      </w:tr>
      <w:tr w:rsidR="00815D6D" w:rsidTr="004A4DFD">
        <w:trPr>
          <w:trHeight w:val="219"/>
        </w:trPr>
        <w:tc>
          <w:tcPr>
            <w:tcW w:w="1234" w:type="dxa"/>
            <w:vMerge/>
            <w:vAlign w:val="center"/>
          </w:tcPr>
          <w:p w:rsidR="00815D6D" w:rsidRDefault="00815D6D" w:rsidP="00815D6D">
            <w:pPr>
              <w:jc w:val="center"/>
              <w:rPr>
                <w:rFonts w:ascii="仿宋_GB2312"/>
                <w:sz w:val="24"/>
              </w:rPr>
            </w:pPr>
          </w:p>
        </w:tc>
        <w:tc>
          <w:tcPr>
            <w:tcW w:w="1284" w:type="dxa"/>
            <w:vAlign w:val="center"/>
          </w:tcPr>
          <w:p w:rsidR="00815D6D" w:rsidRPr="00F1628A" w:rsidRDefault="00815D6D" w:rsidP="00815D6D">
            <w:pPr>
              <w:spacing w:line="360" w:lineRule="exact"/>
              <w:jc w:val="center"/>
              <w:rPr>
                <w:rFonts w:ascii="仿宋_GB2312"/>
                <w:sz w:val="24"/>
              </w:rPr>
            </w:pPr>
            <w:r w:rsidRPr="00F1628A">
              <w:rPr>
                <w:rFonts w:ascii="仿宋_GB2312" w:hint="eastAsia"/>
                <w:sz w:val="24"/>
              </w:rPr>
              <w:t>从重</w:t>
            </w:r>
          </w:p>
        </w:tc>
        <w:tc>
          <w:tcPr>
            <w:tcW w:w="4332" w:type="dxa"/>
          </w:tcPr>
          <w:p w:rsidR="00815D6D" w:rsidRPr="00815D6D" w:rsidRDefault="00815D6D" w:rsidP="00815D6D">
            <w:pPr>
              <w:rPr>
                <w:rFonts w:hint="eastAsia"/>
                <w:sz w:val="24"/>
              </w:rPr>
            </w:pPr>
            <w:r>
              <w:rPr>
                <w:rFonts w:hint="eastAsia"/>
                <w:sz w:val="24"/>
              </w:rPr>
              <w:t>1.</w:t>
            </w:r>
            <w:r w:rsidRPr="00815D6D">
              <w:rPr>
                <w:rFonts w:hint="eastAsia"/>
                <w:sz w:val="24"/>
              </w:rPr>
              <w:t>有《疫苗管理法》第八十三条所列</w:t>
            </w:r>
            <w:r w:rsidRPr="00815D6D">
              <w:rPr>
                <w:rFonts w:hint="eastAsia"/>
                <w:sz w:val="24"/>
              </w:rPr>
              <w:t>3</w:t>
            </w:r>
            <w:r w:rsidRPr="00815D6D">
              <w:rPr>
                <w:rFonts w:hint="eastAsia"/>
                <w:sz w:val="24"/>
              </w:rPr>
              <w:t>项或者</w:t>
            </w:r>
            <w:r w:rsidRPr="00815D6D">
              <w:rPr>
                <w:rFonts w:hint="eastAsia"/>
                <w:sz w:val="24"/>
              </w:rPr>
              <w:t>3</w:t>
            </w:r>
            <w:r w:rsidRPr="00815D6D">
              <w:rPr>
                <w:rFonts w:hint="eastAsia"/>
                <w:sz w:val="24"/>
              </w:rPr>
              <w:t>项以上违法情形的；</w:t>
            </w:r>
          </w:p>
          <w:p w:rsidR="00815D6D" w:rsidRPr="00815D6D" w:rsidRDefault="00815D6D" w:rsidP="00815D6D">
            <w:pPr>
              <w:rPr>
                <w:rFonts w:hint="eastAsia"/>
                <w:sz w:val="24"/>
              </w:rPr>
            </w:pPr>
            <w:r>
              <w:rPr>
                <w:rFonts w:hint="eastAsia"/>
                <w:sz w:val="24"/>
              </w:rPr>
              <w:t>2.</w:t>
            </w:r>
            <w:r w:rsidRPr="00815D6D">
              <w:rPr>
                <w:rFonts w:hint="eastAsia"/>
                <w:sz w:val="24"/>
              </w:rPr>
              <w:t>拒绝、逃避监督检查，伪造、销毁、隐匿有关证据材料，或者擅自动用查封、扣押物品的；</w:t>
            </w:r>
          </w:p>
          <w:p w:rsidR="00815D6D" w:rsidRDefault="00815D6D" w:rsidP="00815D6D">
            <w:pPr>
              <w:rPr>
                <w:sz w:val="24"/>
              </w:rPr>
            </w:pPr>
            <w:r>
              <w:rPr>
                <w:rFonts w:hint="eastAsia"/>
                <w:sz w:val="24"/>
              </w:rPr>
              <w:t>3.</w:t>
            </w:r>
            <w:r w:rsidRPr="00815D6D">
              <w:rPr>
                <w:rFonts w:hint="eastAsia"/>
                <w:sz w:val="24"/>
              </w:rPr>
              <w:t>生产、销售的疫苗用于突发公共卫生事件的；</w:t>
            </w:r>
          </w:p>
          <w:p w:rsidR="00815D6D" w:rsidRPr="00E6218C" w:rsidRDefault="00815D6D" w:rsidP="00815D6D">
            <w:pPr>
              <w:rPr>
                <w:sz w:val="24"/>
              </w:rPr>
            </w:pPr>
            <w:r>
              <w:rPr>
                <w:rFonts w:hint="eastAsia"/>
                <w:sz w:val="24"/>
              </w:rPr>
              <w:t>4.</w:t>
            </w: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》从重</w:t>
            </w:r>
            <w:r w:rsidRPr="00E520F9">
              <w:rPr>
                <w:rFonts w:hint="eastAsia"/>
                <w:sz w:val="24"/>
              </w:rPr>
              <w:t>行政处罚情形的。</w:t>
            </w:r>
          </w:p>
        </w:tc>
        <w:tc>
          <w:tcPr>
            <w:tcW w:w="2506" w:type="dxa"/>
            <w:vAlign w:val="center"/>
          </w:tcPr>
          <w:p w:rsidR="00815D6D" w:rsidRPr="00F1628A" w:rsidRDefault="00815D6D" w:rsidP="00815D6D">
            <w:pPr>
              <w:spacing w:line="360" w:lineRule="exact"/>
              <w:rPr>
                <w:rFonts w:ascii="仿宋_GB2312"/>
                <w:sz w:val="24"/>
              </w:rPr>
            </w:pPr>
            <w:r>
              <w:rPr>
                <w:rFonts w:ascii="仿宋_GB2312" w:hint="eastAsia"/>
                <w:sz w:val="24"/>
              </w:rPr>
              <w:t>41</w:t>
            </w:r>
            <w:r w:rsidRPr="00F1628A">
              <w:rPr>
                <w:rFonts w:ascii="仿宋_GB2312" w:hint="eastAsia"/>
                <w:sz w:val="24"/>
              </w:rPr>
              <w:t>万元以上</w:t>
            </w:r>
            <w:r>
              <w:rPr>
                <w:rFonts w:ascii="仿宋_GB2312" w:hint="eastAsia"/>
                <w:sz w:val="24"/>
              </w:rPr>
              <w:t>50</w:t>
            </w:r>
            <w:r w:rsidRPr="00F1628A">
              <w:rPr>
                <w:rFonts w:ascii="仿宋_GB2312" w:hint="eastAsia"/>
                <w:sz w:val="24"/>
              </w:rPr>
              <w:t>万元以下罚款</w:t>
            </w:r>
          </w:p>
          <w:p w:rsidR="00815D6D" w:rsidRPr="00F1628A" w:rsidRDefault="00815D6D" w:rsidP="00815D6D">
            <w:pPr>
              <w:spacing w:line="360" w:lineRule="exact"/>
              <w:rPr>
                <w:rFonts w:ascii="仿宋_GB2312"/>
                <w:sz w:val="24"/>
              </w:rPr>
            </w:pPr>
            <w:r>
              <w:rPr>
                <w:rFonts w:ascii="仿宋_GB2312" w:hint="eastAsia"/>
                <w:sz w:val="24"/>
              </w:rPr>
              <w:t>情节严重</w:t>
            </w:r>
            <w:r w:rsidRPr="00F1628A">
              <w:rPr>
                <w:rFonts w:ascii="仿宋_GB2312" w:hint="eastAsia"/>
                <w:sz w:val="24"/>
              </w:rPr>
              <w:t>：</w:t>
            </w:r>
            <w:r>
              <w:rPr>
                <w:rFonts w:ascii="仿宋_GB2312" w:hint="eastAsia"/>
                <w:sz w:val="24"/>
              </w:rPr>
              <w:t>155</w:t>
            </w:r>
            <w:r w:rsidRPr="00F1628A">
              <w:rPr>
                <w:rFonts w:ascii="仿宋_GB2312" w:hint="eastAsia"/>
                <w:sz w:val="24"/>
              </w:rPr>
              <w:t>万元以上</w:t>
            </w:r>
            <w:r>
              <w:rPr>
                <w:rFonts w:ascii="仿宋_GB2312" w:hint="eastAsia"/>
                <w:sz w:val="24"/>
              </w:rPr>
              <w:t>200</w:t>
            </w:r>
            <w:r w:rsidRPr="00F1628A">
              <w:rPr>
                <w:rFonts w:ascii="仿宋_GB2312" w:hint="eastAsia"/>
                <w:sz w:val="24"/>
              </w:rPr>
              <w:t>万元以下罚款</w:t>
            </w:r>
          </w:p>
        </w:tc>
      </w:tr>
      <w:tr w:rsidR="00F0668A" w:rsidTr="004A4DFD">
        <w:trPr>
          <w:trHeight w:val="910"/>
        </w:trPr>
        <w:tc>
          <w:tcPr>
            <w:tcW w:w="1234" w:type="dxa"/>
            <w:vAlign w:val="center"/>
          </w:tcPr>
          <w:p w:rsidR="00F0668A" w:rsidRDefault="00F0668A" w:rsidP="00F0668A">
            <w:pPr>
              <w:jc w:val="center"/>
            </w:pPr>
            <w:r w:rsidRPr="00F1628A">
              <w:rPr>
                <w:rFonts w:ascii="仿宋_GB2312" w:hint="eastAsia"/>
                <w:sz w:val="24"/>
              </w:rPr>
              <w:t>说明</w:t>
            </w:r>
          </w:p>
        </w:tc>
        <w:tc>
          <w:tcPr>
            <w:tcW w:w="8122" w:type="dxa"/>
            <w:gridSpan w:val="3"/>
          </w:tcPr>
          <w:p w:rsidR="00F0668A" w:rsidRDefault="00F0668A" w:rsidP="00F0668A"/>
        </w:tc>
      </w:tr>
    </w:tbl>
    <w:p w:rsidR="00C7628E" w:rsidRDefault="00C7628E" w:rsidP="00845144"/>
    <w:sectPr w:rsidR="00C7628E" w:rsidSect="00FB41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5BEA" w:rsidRDefault="001B5BEA" w:rsidP="00DE30B7">
      <w:r>
        <w:separator/>
      </w:r>
    </w:p>
  </w:endnote>
  <w:endnote w:type="continuationSeparator" w:id="0">
    <w:p w:rsidR="001B5BEA" w:rsidRDefault="001B5BEA" w:rsidP="00DE30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5BEA" w:rsidRDefault="001B5BEA" w:rsidP="00DE30B7">
      <w:r>
        <w:separator/>
      </w:r>
    </w:p>
  </w:footnote>
  <w:footnote w:type="continuationSeparator" w:id="0">
    <w:p w:rsidR="001B5BEA" w:rsidRDefault="001B5BEA" w:rsidP="00DE30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916191"/>
    <w:multiLevelType w:val="singleLevel"/>
    <w:tmpl w:val="5D916191"/>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29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30B7"/>
    <w:rsid w:val="0000517E"/>
    <w:rsid w:val="00012397"/>
    <w:rsid w:val="000229E9"/>
    <w:rsid w:val="00045A0F"/>
    <w:rsid w:val="0005742B"/>
    <w:rsid w:val="000655FB"/>
    <w:rsid w:val="00074495"/>
    <w:rsid w:val="000A07A6"/>
    <w:rsid w:val="000A2CCF"/>
    <w:rsid w:val="000A7A5D"/>
    <w:rsid w:val="000B1A66"/>
    <w:rsid w:val="000B71B7"/>
    <w:rsid w:val="000E0DE3"/>
    <w:rsid w:val="00107AC5"/>
    <w:rsid w:val="0011700F"/>
    <w:rsid w:val="00135597"/>
    <w:rsid w:val="0016492A"/>
    <w:rsid w:val="00177093"/>
    <w:rsid w:val="00184500"/>
    <w:rsid w:val="001A0815"/>
    <w:rsid w:val="001B3BE0"/>
    <w:rsid w:val="001B5BEA"/>
    <w:rsid w:val="001B6365"/>
    <w:rsid w:val="001C7047"/>
    <w:rsid w:val="001E02BD"/>
    <w:rsid w:val="001E0BB5"/>
    <w:rsid w:val="001E0E71"/>
    <w:rsid w:val="001E377A"/>
    <w:rsid w:val="001E5B34"/>
    <w:rsid w:val="00200CF5"/>
    <w:rsid w:val="00211693"/>
    <w:rsid w:val="0021341B"/>
    <w:rsid w:val="00215E91"/>
    <w:rsid w:val="00225789"/>
    <w:rsid w:val="00237081"/>
    <w:rsid w:val="002524C6"/>
    <w:rsid w:val="002674EF"/>
    <w:rsid w:val="002776B8"/>
    <w:rsid w:val="002F32E5"/>
    <w:rsid w:val="003034C3"/>
    <w:rsid w:val="00317E8A"/>
    <w:rsid w:val="00323B1A"/>
    <w:rsid w:val="003243F2"/>
    <w:rsid w:val="00331613"/>
    <w:rsid w:val="00331C98"/>
    <w:rsid w:val="0033492B"/>
    <w:rsid w:val="00343453"/>
    <w:rsid w:val="0036647E"/>
    <w:rsid w:val="00367787"/>
    <w:rsid w:val="003A5921"/>
    <w:rsid w:val="003B7404"/>
    <w:rsid w:val="003C6D68"/>
    <w:rsid w:val="003D3123"/>
    <w:rsid w:val="003F0021"/>
    <w:rsid w:val="004118C3"/>
    <w:rsid w:val="00421FB0"/>
    <w:rsid w:val="0045040E"/>
    <w:rsid w:val="00485810"/>
    <w:rsid w:val="004A1790"/>
    <w:rsid w:val="004A4DFD"/>
    <w:rsid w:val="004C0EA9"/>
    <w:rsid w:val="004D7ED9"/>
    <w:rsid w:val="00503360"/>
    <w:rsid w:val="00507267"/>
    <w:rsid w:val="005316C3"/>
    <w:rsid w:val="00536ED6"/>
    <w:rsid w:val="0053754F"/>
    <w:rsid w:val="00561DE7"/>
    <w:rsid w:val="00585382"/>
    <w:rsid w:val="00585765"/>
    <w:rsid w:val="005B4886"/>
    <w:rsid w:val="005B5AA6"/>
    <w:rsid w:val="005C7631"/>
    <w:rsid w:val="005D2F53"/>
    <w:rsid w:val="005D428E"/>
    <w:rsid w:val="005D6116"/>
    <w:rsid w:val="005E22AA"/>
    <w:rsid w:val="0061123F"/>
    <w:rsid w:val="00617AB6"/>
    <w:rsid w:val="0063262C"/>
    <w:rsid w:val="0064583F"/>
    <w:rsid w:val="006567BC"/>
    <w:rsid w:val="00667C31"/>
    <w:rsid w:val="00676407"/>
    <w:rsid w:val="0068729C"/>
    <w:rsid w:val="0068733F"/>
    <w:rsid w:val="00692B52"/>
    <w:rsid w:val="006B0FD3"/>
    <w:rsid w:val="006B5BE7"/>
    <w:rsid w:val="006C2909"/>
    <w:rsid w:val="006D1AC1"/>
    <w:rsid w:val="00700F08"/>
    <w:rsid w:val="0073732E"/>
    <w:rsid w:val="00737822"/>
    <w:rsid w:val="00756A43"/>
    <w:rsid w:val="0076086F"/>
    <w:rsid w:val="00765640"/>
    <w:rsid w:val="0077200D"/>
    <w:rsid w:val="007763A1"/>
    <w:rsid w:val="00776FAE"/>
    <w:rsid w:val="00790622"/>
    <w:rsid w:val="00793944"/>
    <w:rsid w:val="007B6010"/>
    <w:rsid w:val="007E4BA0"/>
    <w:rsid w:val="007E5062"/>
    <w:rsid w:val="007F1EE5"/>
    <w:rsid w:val="007F4DBE"/>
    <w:rsid w:val="00815D6D"/>
    <w:rsid w:val="00837E70"/>
    <w:rsid w:val="00845144"/>
    <w:rsid w:val="00846D0A"/>
    <w:rsid w:val="00847F2C"/>
    <w:rsid w:val="00860229"/>
    <w:rsid w:val="00863E58"/>
    <w:rsid w:val="00870B0B"/>
    <w:rsid w:val="008960E7"/>
    <w:rsid w:val="008B6A82"/>
    <w:rsid w:val="008C3185"/>
    <w:rsid w:val="008D5BF9"/>
    <w:rsid w:val="008E39F0"/>
    <w:rsid w:val="00913ACB"/>
    <w:rsid w:val="009268B7"/>
    <w:rsid w:val="00955173"/>
    <w:rsid w:val="009647B8"/>
    <w:rsid w:val="009654B3"/>
    <w:rsid w:val="00977182"/>
    <w:rsid w:val="009A3D5E"/>
    <w:rsid w:val="009C4F68"/>
    <w:rsid w:val="009C5D2B"/>
    <w:rsid w:val="009E6980"/>
    <w:rsid w:val="00A050B1"/>
    <w:rsid w:val="00A070CE"/>
    <w:rsid w:val="00A13A5A"/>
    <w:rsid w:val="00A13B6E"/>
    <w:rsid w:val="00A14413"/>
    <w:rsid w:val="00A3092B"/>
    <w:rsid w:val="00A400A2"/>
    <w:rsid w:val="00A4056E"/>
    <w:rsid w:val="00A6288F"/>
    <w:rsid w:val="00A6315B"/>
    <w:rsid w:val="00A849C2"/>
    <w:rsid w:val="00A86AFF"/>
    <w:rsid w:val="00AC4589"/>
    <w:rsid w:val="00AC647C"/>
    <w:rsid w:val="00AD7E27"/>
    <w:rsid w:val="00AE4C36"/>
    <w:rsid w:val="00AF7D4C"/>
    <w:rsid w:val="00B60B73"/>
    <w:rsid w:val="00B67EDC"/>
    <w:rsid w:val="00B759A0"/>
    <w:rsid w:val="00B8084F"/>
    <w:rsid w:val="00B85D6F"/>
    <w:rsid w:val="00BA05FA"/>
    <w:rsid w:val="00BA5658"/>
    <w:rsid w:val="00BC4FEF"/>
    <w:rsid w:val="00BE022D"/>
    <w:rsid w:val="00BE2462"/>
    <w:rsid w:val="00BE7CD2"/>
    <w:rsid w:val="00BF112A"/>
    <w:rsid w:val="00BF60F1"/>
    <w:rsid w:val="00C449D4"/>
    <w:rsid w:val="00C57F0D"/>
    <w:rsid w:val="00C615AF"/>
    <w:rsid w:val="00C7112C"/>
    <w:rsid w:val="00C7628E"/>
    <w:rsid w:val="00C97CA4"/>
    <w:rsid w:val="00CA0241"/>
    <w:rsid w:val="00CC2C96"/>
    <w:rsid w:val="00CC3B54"/>
    <w:rsid w:val="00CD1A41"/>
    <w:rsid w:val="00CD468E"/>
    <w:rsid w:val="00CF74DA"/>
    <w:rsid w:val="00D02D8B"/>
    <w:rsid w:val="00D1650A"/>
    <w:rsid w:val="00D2312E"/>
    <w:rsid w:val="00D24DC7"/>
    <w:rsid w:val="00D30EA3"/>
    <w:rsid w:val="00D40DA3"/>
    <w:rsid w:val="00D45067"/>
    <w:rsid w:val="00D4537A"/>
    <w:rsid w:val="00D54F8B"/>
    <w:rsid w:val="00D55BE1"/>
    <w:rsid w:val="00D95FBD"/>
    <w:rsid w:val="00DB65A1"/>
    <w:rsid w:val="00DD750B"/>
    <w:rsid w:val="00DE30B7"/>
    <w:rsid w:val="00DE6580"/>
    <w:rsid w:val="00E119BB"/>
    <w:rsid w:val="00E34D14"/>
    <w:rsid w:val="00E37DA4"/>
    <w:rsid w:val="00E53018"/>
    <w:rsid w:val="00E5410C"/>
    <w:rsid w:val="00E55B16"/>
    <w:rsid w:val="00E609EA"/>
    <w:rsid w:val="00E72ADB"/>
    <w:rsid w:val="00EA2F97"/>
    <w:rsid w:val="00EA45FC"/>
    <w:rsid w:val="00EB4E3F"/>
    <w:rsid w:val="00ED6E12"/>
    <w:rsid w:val="00EF67BD"/>
    <w:rsid w:val="00F04B4F"/>
    <w:rsid w:val="00F0668A"/>
    <w:rsid w:val="00F17CEE"/>
    <w:rsid w:val="00F70FCC"/>
    <w:rsid w:val="00F751DA"/>
    <w:rsid w:val="00F808D0"/>
    <w:rsid w:val="00F82463"/>
    <w:rsid w:val="00F91BE3"/>
    <w:rsid w:val="00FB418C"/>
    <w:rsid w:val="00FB4675"/>
    <w:rsid w:val="00FB630D"/>
    <w:rsid w:val="00FE0A35"/>
    <w:rsid w:val="00FF4D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0B7"/>
    <w:pPr>
      <w:widowControl w:val="0"/>
      <w:jc w:val="both"/>
    </w:pPr>
    <w:rPr>
      <w:rFonts w:ascii="Times New Roman" w:eastAsia="仿宋_GB2312" w:hAnsi="Times New Roman" w:cs="Times New Roman"/>
      <w:sz w:val="32"/>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30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E30B7"/>
    <w:rPr>
      <w:sz w:val="18"/>
      <w:szCs w:val="18"/>
    </w:rPr>
  </w:style>
  <w:style w:type="paragraph" w:styleId="a4">
    <w:name w:val="footer"/>
    <w:basedOn w:val="a"/>
    <w:link w:val="Char0"/>
    <w:uiPriority w:val="99"/>
    <w:semiHidden/>
    <w:unhideWhenUsed/>
    <w:rsid w:val="00DE30B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E30B7"/>
    <w:rPr>
      <w:sz w:val="18"/>
      <w:szCs w:val="18"/>
    </w:rPr>
  </w:style>
  <w:style w:type="table" w:styleId="a5">
    <w:name w:val="Table Grid"/>
    <w:basedOn w:val="a1"/>
    <w:uiPriority w:val="59"/>
    <w:rsid w:val="007B60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2</Pages>
  <Words>323</Words>
  <Characters>1842</Characters>
  <Application>Microsoft Office Word</Application>
  <DocSecurity>0</DocSecurity>
  <Lines>15</Lines>
  <Paragraphs>4</Paragraphs>
  <ScaleCrop>false</ScaleCrop>
  <Company>神州网信技术有限公司</Company>
  <LinksUpToDate>false</LinksUpToDate>
  <CharactersWithSpaces>2161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haoqiang</dc:creator>
  <cp:keywords/>
  <dc:description/>
  <cp:lastModifiedBy>郝强</cp:lastModifiedBy>
  <cp:revision>56</cp:revision>
  <cp:lastPrinted>2020-09-15T09:29:00Z</cp:lastPrinted>
  <dcterms:created xsi:type="dcterms:W3CDTF">2020-09-15T09:15:00Z</dcterms:created>
  <dcterms:modified xsi:type="dcterms:W3CDTF">2020-10-20T02:49:00Z</dcterms:modified>
</cp:coreProperties>
</file>