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D7485D">
        <w:tc>
          <w:tcPr>
            <w:tcW w:w="1234" w:type="dxa"/>
            <w:vAlign w:val="center"/>
          </w:tcPr>
          <w:p w:rsidR="005C3264" w:rsidRPr="00F1628A" w:rsidRDefault="005C3264" w:rsidP="00D7485D">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5F2B86">
            <w:pPr>
              <w:spacing w:line="360" w:lineRule="exact"/>
              <w:jc w:val="center"/>
              <w:rPr>
                <w:rFonts w:ascii="仿宋_GB2312"/>
                <w:sz w:val="24"/>
              </w:rPr>
            </w:pPr>
            <w:r>
              <w:rPr>
                <w:rFonts w:ascii="仿宋_GB2312" w:hint="eastAsia"/>
                <w:sz w:val="24"/>
              </w:rPr>
              <w:t>HEBMPA-C-1-0</w:t>
            </w:r>
            <w:r w:rsidR="00304805">
              <w:rPr>
                <w:rFonts w:ascii="仿宋_GB2312" w:hint="eastAsia"/>
                <w:sz w:val="24"/>
              </w:rPr>
              <w:t>1</w:t>
            </w:r>
            <w:r w:rsidR="005F2B86">
              <w:rPr>
                <w:rFonts w:ascii="仿宋_GB2312" w:hint="eastAsia"/>
                <w:sz w:val="24"/>
              </w:rPr>
              <w:t>2</w:t>
            </w:r>
          </w:p>
        </w:tc>
      </w:tr>
      <w:tr w:rsidR="00304805" w:rsidTr="00D7485D">
        <w:trPr>
          <w:trHeight w:val="2790"/>
        </w:trPr>
        <w:tc>
          <w:tcPr>
            <w:tcW w:w="1234" w:type="dxa"/>
            <w:vAlign w:val="center"/>
          </w:tcPr>
          <w:p w:rsidR="00304805" w:rsidRPr="00F1628A" w:rsidRDefault="00304805" w:rsidP="00D7485D">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A00541" w:rsidRPr="00F1628A" w:rsidRDefault="00A00541" w:rsidP="00D7485D">
            <w:pPr>
              <w:spacing w:line="320" w:lineRule="exact"/>
              <w:rPr>
                <w:rFonts w:ascii="仿宋_GB2312"/>
                <w:sz w:val="24"/>
              </w:rPr>
            </w:pPr>
            <w:r>
              <w:rPr>
                <w:rFonts w:ascii="仿宋_GB2312" w:hint="eastAsia"/>
                <w:sz w:val="24"/>
              </w:rPr>
              <w:t>1.</w:t>
            </w:r>
            <w:r w:rsidRPr="00F1628A">
              <w:rPr>
                <w:rFonts w:ascii="仿宋_GB2312" w:hint="eastAsia"/>
                <w:sz w:val="24"/>
              </w:rPr>
              <w:t>开展生物等效性试验未备案；</w:t>
            </w:r>
          </w:p>
          <w:p w:rsidR="00A00541" w:rsidRPr="00F1628A" w:rsidRDefault="00A00541" w:rsidP="00D7485D">
            <w:pPr>
              <w:spacing w:line="320" w:lineRule="exact"/>
              <w:rPr>
                <w:rFonts w:ascii="仿宋_GB2312"/>
                <w:sz w:val="24"/>
              </w:rPr>
            </w:pPr>
            <w:r w:rsidRPr="00F1628A">
              <w:rPr>
                <w:rFonts w:ascii="仿宋_GB2312" w:hint="eastAsia"/>
                <w:sz w:val="24"/>
              </w:rPr>
              <w:t>2.药物临床试验期间，发现存在安全性问题或者其他风险，临床试验申办者未及时调整临床试验方案、暂停或者终止临床试验，或者未向国务院药品监督管理部门报告；</w:t>
            </w:r>
          </w:p>
          <w:p w:rsidR="00A00541" w:rsidRPr="00F1628A" w:rsidRDefault="00A00541" w:rsidP="00D7485D">
            <w:pPr>
              <w:spacing w:line="320" w:lineRule="exact"/>
              <w:rPr>
                <w:rFonts w:ascii="仿宋_GB2312"/>
                <w:sz w:val="24"/>
              </w:rPr>
            </w:pPr>
            <w:r w:rsidRPr="00F1628A">
              <w:rPr>
                <w:rFonts w:ascii="仿宋_GB2312" w:hint="eastAsia"/>
                <w:sz w:val="24"/>
              </w:rPr>
              <w:t>3.未按照规定建立并实施药品追溯制度；</w:t>
            </w:r>
          </w:p>
          <w:p w:rsidR="00A00541" w:rsidRPr="00F1628A" w:rsidRDefault="00A00541" w:rsidP="00D7485D">
            <w:pPr>
              <w:spacing w:line="320" w:lineRule="exact"/>
              <w:rPr>
                <w:rFonts w:ascii="仿宋_GB2312"/>
                <w:sz w:val="24"/>
              </w:rPr>
            </w:pPr>
            <w:r w:rsidRPr="00F1628A">
              <w:rPr>
                <w:rFonts w:ascii="仿宋_GB2312" w:hint="eastAsia"/>
                <w:sz w:val="24"/>
              </w:rPr>
              <w:t>4.未按照规定提交年度报告；</w:t>
            </w:r>
          </w:p>
          <w:p w:rsidR="00A00541" w:rsidRPr="00F1628A" w:rsidRDefault="00A00541" w:rsidP="00D7485D">
            <w:pPr>
              <w:spacing w:line="320" w:lineRule="exact"/>
              <w:rPr>
                <w:rFonts w:ascii="仿宋_GB2312"/>
                <w:sz w:val="24"/>
              </w:rPr>
            </w:pPr>
            <w:r w:rsidRPr="00F1628A">
              <w:rPr>
                <w:rFonts w:ascii="仿宋_GB2312" w:hint="eastAsia"/>
                <w:sz w:val="24"/>
              </w:rPr>
              <w:t>5.未按照规定对药品生产过程中的变更进行备案或者报告；</w:t>
            </w:r>
          </w:p>
          <w:p w:rsidR="00A00541" w:rsidRPr="00F1628A" w:rsidRDefault="00A00541" w:rsidP="00D7485D">
            <w:pPr>
              <w:spacing w:line="320" w:lineRule="exact"/>
              <w:rPr>
                <w:rFonts w:ascii="仿宋_GB2312"/>
                <w:sz w:val="24"/>
              </w:rPr>
            </w:pPr>
            <w:r w:rsidRPr="00F1628A">
              <w:rPr>
                <w:rFonts w:ascii="仿宋_GB2312" w:hint="eastAsia"/>
                <w:sz w:val="24"/>
              </w:rPr>
              <w:t>6.未制定药品上市后风险管理计划；</w:t>
            </w:r>
          </w:p>
          <w:p w:rsidR="00304805" w:rsidRPr="00F1628A" w:rsidRDefault="00A00541" w:rsidP="00D7485D">
            <w:pPr>
              <w:spacing w:line="320" w:lineRule="exact"/>
              <w:rPr>
                <w:rFonts w:ascii="仿宋_GB2312"/>
                <w:sz w:val="24"/>
              </w:rPr>
            </w:pPr>
            <w:r w:rsidRPr="00F1628A">
              <w:rPr>
                <w:rFonts w:ascii="仿宋_GB2312" w:hint="eastAsia"/>
                <w:sz w:val="24"/>
              </w:rPr>
              <w:t>7.未按照规定开展药品上市后研究或者上市后评价。</w:t>
            </w:r>
          </w:p>
        </w:tc>
      </w:tr>
      <w:tr w:rsidR="00D7485D" w:rsidTr="00D478DB">
        <w:trPr>
          <w:trHeight w:val="132"/>
        </w:trPr>
        <w:tc>
          <w:tcPr>
            <w:tcW w:w="1234" w:type="dxa"/>
            <w:vAlign w:val="center"/>
          </w:tcPr>
          <w:p w:rsidR="00D7485D" w:rsidRPr="00F1628A" w:rsidRDefault="00D7485D" w:rsidP="00D7485D">
            <w:pPr>
              <w:spacing w:line="360" w:lineRule="exact"/>
              <w:jc w:val="center"/>
              <w:rPr>
                <w:rFonts w:ascii="仿宋_GB2312"/>
                <w:sz w:val="24"/>
              </w:rPr>
            </w:pPr>
            <w:r>
              <w:rPr>
                <w:rFonts w:ascii="仿宋_GB2312" w:hint="eastAsia"/>
                <w:sz w:val="24"/>
              </w:rPr>
              <w:t>违法依据</w:t>
            </w:r>
          </w:p>
        </w:tc>
        <w:tc>
          <w:tcPr>
            <w:tcW w:w="8122" w:type="dxa"/>
            <w:gridSpan w:val="3"/>
          </w:tcPr>
          <w:p w:rsidR="00D7485D" w:rsidRDefault="00D478DB" w:rsidP="00D7485D">
            <w:pPr>
              <w:spacing w:line="320" w:lineRule="exact"/>
              <w:rPr>
                <w:rFonts w:ascii="仿宋_GB2312"/>
                <w:sz w:val="24"/>
              </w:rPr>
            </w:pPr>
            <w:r>
              <w:rPr>
                <w:rFonts w:ascii="仿宋_GB2312" w:hint="eastAsia"/>
                <w:sz w:val="24"/>
              </w:rPr>
              <w:t>1.</w:t>
            </w:r>
            <w:r w:rsidR="00C32501" w:rsidRPr="00F1628A">
              <w:rPr>
                <w:rFonts w:ascii="仿宋_GB2312" w:hint="eastAsia"/>
                <w:sz w:val="24"/>
              </w:rPr>
              <w:t>《中华人民共和国药品管理法》</w:t>
            </w:r>
            <w:r w:rsidR="00C32501" w:rsidRPr="00C32501">
              <w:rPr>
                <w:rFonts w:ascii="仿宋_GB2312" w:hint="eastAsia"/>
                <w:sz w:val="24"/>
              </w:rPr>
              <w:t>第十九条</w:t>
            </w:r>
            <w:r w:rsidR="00C32501">
              <w:rPr>
                <w:rFonts w:ascii="仿宋_GB2312" w:hint="eastAsia"/>
                <w:sz w:val="24"/>
              </w:rPr>
              <w:t xml:space="preserve">第一款 </w:t>
            </w:r>
            <w:r w:rsidR="00C32501" w:rsidRPr="00C32501">
              <w:rPr>
                <w:rFonts w:ascii="仿宋_GB2312" w:hint="eastAsia"/>
                <w:sz w:val="24"/>
              </w:rPr>
              <w:t>开展药物临床试验，应当按照国务院药品监督管理部门的规定如实报送研制方法、质量指标、药理及毒理试验结果等有关数据、资料和样品，经国务院药品监督管理部门批准。国务院药品监督管理部门应当自受理临床试验申请之日起六十个工作日内决定是否同意并通知临床试验申办者，逾期未通知的，视为同意。其中，开展生物等效性试验的，报国务院药品监督管理部门备案。</w:t>
            </w:r>
          </w:p>
          <w:p w:rsidR="00C32501" w:rsidRDefault="00D478DB" w:rsidP="00D7485D">
            <w:pPr>
              <w:spacing w:line="320" w:lineRule="exact"/>
              <w:rPr>
                <w:rFonts w:ascii="仿宋_GB2312"/>
                <w:sz w:val="24"/>
              </w:rPr>
            </w:pPr>
            <w:r>
              <w:rPr>
                <w:rFonts w:ascii="仿宋_GB2312" w:hint="eastAsia"/>
                <w:sz w:val="24"/>
              </w:rPr>
              <w:t>2.</w:t>
            </w:r>
            <w:r w:rsidR="00C32501" w:rsidRPr="00F1628A">
              <w:rPr>
                <w:rFonts w:ascii="仿宋_GB2312" w:hint="eastAsia"/>
                <w:sz w:val="24"/>
              </w:rPr>
              <w:t>《中华人民共和国药品管理法》</w:t>
            </w:r>
            <w:r w:rsidR="00C32501" w:rsidRPr="00C32501">
              <w:rPr>
                <w:rFonts w:ascii="仿宋_GB2312" w:hint="eastAsia"/>
                <w:sz w:val="24"/>
              </w:rPr>
              <w:t>第二十二条</w:t>
            </w:r>
            <w:r w:rsidR="00C32501">
              <w:rPr>
                <w:rFonts w:ascii="仿宋_GB2312" w:hint="eastAsia"/>
                <w:sz w:val="24"/>
              </w:rPr>
              <w:t xml:space="preserve"> </w:t>
            </w:r>
            <w:r w:rsidR="00C32501" w:rsidRPr="00C32501">
              <w:rPr>
                <w:rFonts w:ascii="仿宋_GB2312" w:hint="eastAsia"/>
                <w:sz w:val="24"/>
              </w:rPr>
              <w:t>药物临床试验期间，发现存在安全性问题或者其他风险的，临床试验申办者应当及时调整临床试验方案、暂停或者终止临床试验，并向国务院药品监督管理部门报告。必要时，国务院药品监督管理部门可以责令调整临床试验方案、暂停或者终止临床试验。</w:t>
            </w:r>
          </w:p>
          <w:p w:rsidR="00C32501" w:rsidRPr="00C32501" w:rsidRDefault="00D478DB" w:rsidP="00C32501">
            <w:pPr>
              <w:spacing w:line="320" w:lineRule="exact"/>
              <w:rPr>
                <w:rFonts w:ascii="仿宋_GB2312"/>
                <w:sz w:val="24"/>
              </w:rPr>
            </w:pPr>
            <w:r>
              <w:rPr>
                <w:rFonts w:ascii="仿宋_GB2312" w:hint="eastAsia"/>
                <w:sz w:val="24"/>
              </w:rPr>
              <w:t>3.</w:t>
            </w:r>
            <w:r w:rsidR="00C32501" w:rsidRPr="00F1628A">
              <w:rPr>
                <w:rFonts w:ascii="仿宋_GB2312" w:hint="eastAsia"/>
                <w:sz w:val="24"/>
              </w:rPr>
              <w:t>《中华人民共和国药品管理法》</w:t>
            </w:r>
            <w:r w:rsidR="00C32501" w:rsidRPr="00C32501">
              <w:rPr>
                <w:rFonts w:ascii="仿宋_GB2312" w:hint="eastAsia"/>
                <w:sz w:val="24"/>
              </w:rPr>
              <w:t>第三十六条　药品上市许可持有人、药品生产企业、药品经营企业和医疗机构应当建立并实施药品追溯制度，按照规定提供追溯信息，保证药品可追溯。</w:t>
            </w:r>
          </w:p>
          <w:p w:rsidR="00C32501" w:rsidRDefault="00D478DB" w:rsidP="00D7485D">
            <w:pPr>
              <w:spacing w:line="320" w:lineRule="exact"/>
              <w:rPr>
                <w:rFonts w:ascii="仿宋_GB2312"/>
                <w:sz w:val="24"/>
              </w:rPr>
            </w:pPr>
            <w:r>
              <w:rPr>
                <w:rFonts w:ascii="仿宋_GB2312" w:hint="eastAsia"/>
                <w:sz w:val="24"/>
              </w:rPr>
              <w:t>4.</w:t>
            </w:r>
            <w:r w:rsidR="00C32501" w:rsidRPr="00F1628A">
              <w:rPr>
                <w:rFonts w:ascii="仿宋_GB2312" w:hint="eastAsia"/>
                <w:sz w:val="24"/>
              </w:rPr>
              <w:t>《中华人民共和国药品管理法》</w:t>
            </w:r>
            <w:r w:rsidR="00C32501" w:rsidRPr="00C32501">
              <w:rPr>
                <w:rFonts w:ascii="仿宋_GB2312" w:hint="eastAsia"/>
                <w:sz w:val="24"/>
              </w:rPr>
              <w:t>第三十七条　药品上市许可持有人应当建立年度报告制度，每年将药品生产销售、上市后研究、风险管理等情况按照规定向省、自治区、直辖市人民政府药品监督管理部门报告。</w:t>
            </w:r>
          </w:p>
          <w:p w:rsidR="00C32501" w:rsidRDefault="00D478DB" w:rsidP="00D7485D">
            <w:pPr>
              <w:spacing w:line="320" w:lineRule="exact"/>
              <w:rPr>
                <w:rFonts w:ascii="仿宋_GB2312"/>
                <w:sz w:val="24"/>
              </w:rPr>
            </w:pPr>
            <w:r>
              <w:rPr>
                <w:rFonts w:ascii="仿宋_GB2312" w:hint="eastAsia"/>
                <w:sz w:val="24"/>
              </w:rPr>
              <w:t>5.</w:t>
            </w:r>
            <w:r w:rsidR="00C32501" w:rsidRPr="00F1628A">
              <w:rPr>
                <w:rFonts w:ascii="仿宋_GB2312" w:hint="eastAsia"/>
                <w:sz w:val="24"/>
              </w:rPr>
              <w:t>《中华人民共和国药品管理法》</w:t>
            </w:r>
            <w:r w:rsidR="00C32501" w:rsidRPr="00C32501">
              <w:rPr>
                <w:rFonts w:ascii="仿宋_GB2312" w:hint="eastAsia"/>
                <w:sz w:val="24"/>
              </w:rPr>
              <w:t>第七十七条　药品上市许可持有人应当制定药品上市后风险管理计划，主动开展药品上市后研究，对药品的安全性、有效性和质量可控性进行进一步确证，加强对已上市药品的持续管理。</w:t>
            </w:r>
          </w:p>
          <w:p w:rsidR="00C32501" w:rsidRPr="00C32501" w:rsidRDefault="00D478DB" w:rsidP="00C32501">
            <w:pPr>
              <w:spacing w:line="320" w:lineRule="exact"/>
              <w:rPr>
                <w:rFonts w:ascii="仿宋_GB2312"/>
                <w:sz w:val="24"/>
              </w:rPr>
            </w:pPr>
            <w:r>
              <w:rPr>
                <w:rFonts w:ascii="仿宋_GB2312" w:hint="eastAsia"/>
                <w:sz w:val="24"/>
              </w:rPr>
              <w:t>6.</w:t>
            </w:r>
            <w:r w:rsidR="00C32501" w:rsidRPr="00F1628A">
              <w:rPr>
                <w:rFonts w:ascii="仿宋_GB2312" w:hint="eastAsia"/>
                <w:sz w:val="24"/>
              </w:rPr>
              <w:t>《中华人民共和国药品管理法》</w:t>
            </w:r>
            <w:r w:rsidR="00C32501" w:rsidRPr="00C32501">
              <w:rPr>
                <w:rFonts w:ascii="仿宋_GB2312" w:hint="eastAsia"/>
                <w:sz w:val="24"/>
              </w:rPr>
              <w:t>第七十九条</w:t>
            </w:r>
            <w:r w:rsidR="00C32501">
              <w:rPr>
                <w:rFonts w:ascii="仿宋_GB2312" w:hint="eastAsia"/>
                <w:sz w:val="24"/>
              </w:rPr>
              <w:t>第一款</w:t>
            </w:r>
            <w:r w:rsidR="00C32501" w:rsidRPr="00C32501">
              <w:rPr>
                <w:rFonts w:ascii="仿宋_GB2312" w:hint="eastAsia"/>
                <w:sz w:val="24"/>
              </w:rPr>
              <w:t xml:space="preserve">　对药品生产过程中的变更，按照其对药品安全性、有效性和质量可控性的风险和产生影响的程度，实行分类管理。属于重大变更的，应当经国务院药品监督管理部门批准，其他变更应当按照国务院药品监督管理部门的规定备案或者报告。</w:t>
            </w:r>
          </w:p>
          <w:p w:rsidR="00C32501" w:rsidRDefault="00D478DB" w:rsidP="00C32501">
            <w:pPr>
              <w:spacing w:line="320" w:lineRule="exact"/>
              <w:rPr>
                <w:rFonts w:ascii="仿宋_GB2312"/>
                <w:sz w:val="24"/>
              </w:rPr>
            </w:pPr>
            <w:r>
              <w:rPr>
                <w:rFonts w:ascii="仿宋_GB2312" w:hint="eastAsia"/>
                <w:sz w:val="24"/>
              </w:rPr>
              <w:t>7.《</w:t>
            </w:r>
            <w:r w:rsidRPr="00D478DB">
              <w:rPr>
                <w:rFonts w:ascii="仿宋_GB2312" w:hint="eastAsia"/>
                <w:sz w:val="24"/>
              </w:rPr>
              <w:t>药品注册管理办法</w:t>
            </w:r>
            <w:r>
              <w:rPr>
                <w:rFonts w:ascii="仿宋_GB2312" w:hint="eastAsia"/>
                <w:sz w:val="24"/>
              </w:rPr>
              <w:t>》</w:t>
            </w:r>
            <w:r w:rsidR="00C32501" w:rsidRPr="00C32501">
              <w:rPr>
                <w:rFonts w:ascii="仿宋_GB2312" w:hint="eastAsia"/>
                <w:sz w:val="24"/>
              </w:rPr>
              <w:t>第七十六条</w:t>
            </w:r>
            <w:r w:rsidR="00C32501" w:rsidRPr="00C32501">
              <w:rPr>
                <w:rFonts w:ascii="仿宋_GB2312" w:hint="eastAsia"/>
                <w:sz w:val="24"/>
              </w:rPr>
              <w:t>  </w:t>
            </w:r>
            <w:r w:rsidR="00C32501" w:rsidRPr="00C32501">
              <w:rPr>
                <w:rFonts w:ascii="仿宋_GB2312" w:hint="eastAsia"/>
                <w:sz w:val="24"/>
              </w:rPr>
              <w:t>持有人应当主动开展药品上市后研究，对药品的安全性、有效性和质量可控性进行进一步确证，加强对已上市药品的持续管理。</w:t>
            </w:r>
          </w:p>
          <w:p w:rsidR="00C32501" w:rsidRDefault="00D478DB" w:rsidP="00D478DB">
            <w:pPr>
              <w:spacing w:line="320" w:lineRule="exact"/>
              <w:rPr>
                <w:rFonts w:ascii="仿宋_GB2312"/>
                <w:sz w:val="24"/>
              </w:rPr>
            </w:pPr>
            <w:r>
              <w:rPr>
                <w:rFonts w:ascii="仿宋_GB2312" w:hint="eastAsia"/>
                <w:sz w:val="24"/>
              </w:rPr>
              <w:t>8.</w:t>
            </w:r>
            <w:r w:rsidR="00C32501">
              <w:rPr>
                <w:rFonts w:ascii="仿宋_GB2312" w:hint="eastAsia"/>
                <w:sz w:val="24"/>
              </w:rPr>
              <w:t>《</w:t>
            </w:r>
            <w:r w:rsidR="00C32501" w:rsidRPr="00C32501">
              <w:rPr>
                <w:rFonts w:ascii="仿宋_GB2312" w:hint="eastAsia"/>
                <w:sz w:val="24"/>
              </w:rPr>
              <w:t>药品生产监督管理办法</w:t>
            </w:r>
            <w:r w:rsidR="00C32501">
              <w:rPr>
                <w:rFonts w:ascii="仿宋_GB2312" w:hint="eastAsia"/>
                <w:sz w:val="24"/>
              </w:rPr>
              <w:t>》</w:t>
            </w:r>
            <w:r w:rsidR="00C32501" w:rsidRPr="00C32501">
              <w:rPr>
                <w:rFonts w:ascii="仿宋_GB2312" w:hint="eastAsia"/>
                <w:sz w:val="24"/>
              </w:rPr>
              <w:t>第三十九条</w:t>
            </w:r>
            <w:r w:rsidR="00C32501" w:rsidRPr="00C32501">
              <w:rPr>
                <w:rFonts w:ascii="仿宋_GB2312" w:hint="eastAsia"/>
                <w:sz w:val="24"/>
              </w:rPr>
              <w:t>  </w:t>
            </w:r>
            <w:r w:rsidR="00C32501" w:rsidRPr="00C32501">
              <w:rPr>
                <w:rFonts w:ascii="仿宋_GB2312" w:hint="eastAsia"/>
                <w:sz w:val="24"/>
              </w:rPr>
              <w:t>药品上市许可持有人应当建立年度报告制度，按照国家药品监督管理局规定每年向省、自治区、直辖市药品监督管理部门报告药品生产销售、上市后研究、风险管理等情况。疫苗上市许可持有人应当按照规定向国家药品监督管理局进行年度报告。</w:t>
            </w:r>
          </w:p>
          <w:p w:rsidR="00D478DB" w:rsidRPr="00D478DB" w:rsidRDefault="00D478DB" w:rsidP="00D478DB">
            <w:pPr>
              <w:spacing w:line="320" w:lineRule="exact"/>
              <w:rPr>
                <w:rFonts w:ascii="仿宋_GB2312"/>
                <w:sz w:val="24"/>
              </w:rPr>
            </w:pPr>
            <w:r>
              <w:rPr>
                <w:rFonts w:ascii="仿宋_GB2312" w:hint="eastAsia"/>
                <w:sz w:val="24"/>
              </w:rPr>
              <w:t>9.《</w:t>
            </w:r>
            <w:r w:rsidRPr="00C32501">
              <w:rPr>
                <w:rFonts w:ascii="仿宋_GB2312" w:hint="eastAsia"/>
                <w:sz w:val="24"/>
              </w:rPr>
              <w:t>药品生产监督管理办法</w:t>
            </w:r>
            <w:r>
              <w:rPr>
                <w:rFonts w:ascii="仿宋_GB2312" w:hint="eastAsia"/>
                <w:sz w:val="24"/>
              </w:rPr>
              <w:t>》</w:t>
            </w:r>
            <w:r w:rsidRPr="00D478DB">
              <w:rPr>
                <w:rFonts w:ascii="仿宋_GB2312" w:hint="eastAsia"/>
                <w:sz w:val="24"/>
              </w:rPr>
              <w:t>第四十条</w:t>
            </w:r>
            <w:r w:rsidRPr="00D478DB">
              <w:rPr>
                <w:rFonts w:ascii="仿宋_GB2312" w:hint="eastAsia"/>
                <w:sz w:val="24"/>
              </w:rPr>
              <w:t>  </w:t>
            </w:r>
            <w:r w:rsidRPr="00D478DB">
              <w:rPr>
                <w:rFonts w:ascii="仿宋_GB2312" w:hint="eastAsia"/>
                <w:sz w:val="24"/>
              </w:rPr>
              <w:t>药品上市许可持有人应当持续开展药品风险获益评估和控制，制定上市后药品风险管理计划，主动开展上市后</w:t>
            </w:r>
            <w:r w:rsidRPr="00D478DB">
              <w:rPr>
                <w:rFonts w:ascii="仿宋_GB2312" w:hint="eastAsia"/>
                <w:sz w:val="24"/>
              </w:rPr>
              <w:lastRenderedPageBreak/>
              <w:t>研究，对药品的安全性、有效性和质量可控性进行进一步确证，加强对已上市药品的持续管理。</w:t>
            </w:r>
          </w:p>
        </w:tc>
      </w:tr>
      <w:tr w:rsidR="00A00541" w:rsidTr="00D7485D">
        <w:trPr>
          <w:trHeight w:val="1102"/>
        </w:trPr>
        <w:tc>
          <w:tcPr>
            <w:tcW w:w="1234" w:type="dxa"/>
            <w:vAlign w:val="center"/>
          </w:tcPr>
          <w:p w:rsidR="00A00541" w:rsidRDefault="00A00541" w:rsidP="00D7485D">
            <w:pPr>
              <w:jc w:val="center"/>
            </w:pPr>
            <w:r w:rsidRPr="00F1628A">
              <w:rPr>
                <w:rFonts w:ascii="仿宋_GB2312" w:hint="eastAsia"/>
                <w:sz w:val="24"/>
              </w:rPr>
              <w:lastRenderedPageBreak/>
              <w:t>处罚依据</w:t>
            </w:r>
          </w:p>
        </w:tc>
        <w:tc>
          <w:tcPr>
            <w:tcW w:w="8122" w:type="dxa"/>
            <w:gridSpan w:val="3"/>
          </w:tcPr>
          <w:p w:rsidR="00A00541" w:rsidRPr="00F1628A" w:rsidRDefault="0043507E" w:rsidP="00D7485D">
            <w:pPr>
              <w:spacing w:line="320" w:lineRule="exact"/>
              <w:rPr>
                <w:rFonts w:ascii="仿宋_GB2312"/>
                <w:sz w:val="24"/>
              </w:rPr>
            </w:pPr>
            <w:r>
              <w:rPr>
                <w:rFonts w:ascii="仿宋_GB2312" w:hint="eastAsia"/>
                <w:sz w:val="24"/>
              </w:rPr>
              <w:t>1.</w:t>
            </w:r>
            <w:r w:rsidR="00A00541" w:rsidRPr="00F1628A">
              <w:rPr>
                <w:rFonts w:ascii="仿宋_GB2312" w:hint="eastAsia"/>
                <w:sz w:val="24"/>
              </w:rPr>
              <w:t>《中华人民共和国药品管理法》第一百二十七条：违反本法规定，有下列行为之一的，责令限期改正，给予警告；逾期不改正的，处十万元以上五十万元以下的罚款：</w:t>
            </w:r>
          </w:p>
          <w:p w:rsidR="00A00541" w:rsidRPr="00F1628A" w:rsidRDefault="00A00541" w:rsidP="00D7485D">
            <w:pPr>
              <w:spacing w:line="320" w:lineRule="exact"/>
              <w:rPr>
                <w:rFonts w:ascii="仿宋_GB2312"/>
                <w:sz w:val="24"/>
              </w:rPr>
            </w:pPr>
            <w:r w:rsidRPr="00F1628A">
              <w:rPr>
                <w:rFonts w:ascii="仿宋_GB2312" w:hint="eastAsia"/>
                <w:sz w:val="24"/>
              </w:rPr>
              <w:t>（一）开展生物等效性试验未备案；</w:t>
            </w:r>
          </w:p>
          <w:p w:rsidR="00A00541" w:rsidRPr="00F1628A" w:rsidRDefault="00A00541" w:rsidP="00D7485D">
            <w:pPr>
              <w:spacing w:line="320" w:lineRule="exact"/>
              <w:rPr>
                <w:rFonts w:ascii="仿宋_GB2312"/>
                <w:sz w:val="24"/>
              </w:rPr>
            </w:pPr>
            <w:r w:rsidRPr="00F1628A">
              <w:rPr>
                <w:rFonts w:ascii="仿宋_GB2312" w:hint="eastAsia"/>
                <w:sz w:val="24"/>
              </w:rPr>
              <w:t>（二）药物临床试验期间，发现存在安全性问题或者其他风险，临床试验申办者未及时调整临床试验方案、暂停或者终止临床试验，或者未向国务院药品监督管理部门报告；</w:t>
            </w:r>
          </w:p>
          <w:p w:rsidR="00A00541" w:rsidRPr="00F1628A" w:rsidRDefault="00A00541" w:rsidP="00D7485D">
            <w:pPr>
              <w:spacing w:line="320" w:lineRule="exact"/>
              <w:rPr>
                <w:rFonts w:ascii="仿宋_GB2312"/>
                <w:sz w:val="24"/>
              </w:rPr>
            </w:pPr>
            <w:r w:rsidRPr="00F1628A">
              <w:rPr>
                <w:rFonts w:ascii="仿宋_GB2312" w:hint="eastAsia"/>
                <w:sz w:val="24"/>
              </w:rPr>
              <w:t>（三）未按照规定建立并实施药品追溯制度；</w:t>
            </w:r>
          </w:p>
          <w:p w:rsidR="00A00541" w:rsidRPr="00F1628A" w:rsidRDefault="00A00541" w:rsidP="00D7485D">
            <w:pPr>
              <w:spacing w:line="320" w:lineRule="exact"/>
              <w:rPr>
                <w:rFonts w:ascii="仿宋_GB2312"/>
                <w:sz w:val="24"/>
              </w:rPr>
            </w:pPr>
            <w:r w:rsidRPr="00F1628A">
              <w:rPr>
                <w:rFonts w:ascii="仿宋_GB2312" w:hint="eastAsia"/>
                <w:sz w:val="24"/>
              </w:rPr>
              <w:t>（四）未按照规定提交年度报告；</w:t>
            </w:r>
          </w:p>
          <w:p w:rsidR="00A00541" w:rsidRPr="00F1628A" w:rsidRDefault="00A00541" w:rsidP="00D7485D">
            <w:pPr>
              <w:spacing w:line="320" w:lineRule="exact"/>
              <w:rPr>
                <w:rFonts w:ascii="仿宋_GB2312"/>
                <w:sz w:val="24"/>
              </w:rPr>
            </w:pPr>
            <w:r w:rsidRPr="00F1628A">
              <w:rPr>
                <w:rFonts w:ascii="仿宋_GB2312" w:hint="eastAsia"/>
                <w:sz w:val="24"/>
              </w:rPr>
              <w:t>（五）未按照规定对药品生产过程中的变更进行备案或者报告；</w:t>
            </w:r>
          </w:p>
          <w:p w:rsidR="00A00541" w:rsidRPr="00F1628A" w:rsidRDefault="00A00541" w:rsidP="00D7485D">
            <w:pPr>
              <w:spacing w:line="320" w:lineRule="exact"/>
              <w:rPr>
                <w:rFonts w:ascii="仿宋_GB2312"/>
                <w:sz w:val="24"/>
              </w:rPr>
            </w:pPr>
            <w:r w:rsidRPr="00F1628A">
              <w:rPr>
                <w:rFonts w:ascii="仿宋_GB2312" w:hint="eastAsia"/>
                <w:sz w:val="24"/>
              </w:rPr>
              <w:t>（六）未制定药品上市后风险管理计划；</w:t>
            </w:r>
          </w:p>
          <w:p w:rsidR="00A00541" w:rsidRDefault="00A00541" w:rsidP="00D7485D">
            <w:pPr>
              <w:spacing w:line="320" w:lineRule="exact"/>
              <w:rPr>
                <w:rFonts w:ascii="仿宋_GB2312"/>
                <w:sz w:val="24"/>
              </w:rPr>
            </w:pPr>
            <w:r w:rsidRPr="00F1628A">
              <w:rPr>
                <w:rFonts w:ascii="仿宋_GB2312" w:hint="eastAsia"/>
                <w:sz w:val="24"/>
              </w:rPr>
              <w:t>（七）未按照规定开展药品上市后研究或者上市后评价。</w:t>
            </w:r>
          </w:p>
          <w:p w:rsidR="003C06A6" w:rsidRDefault="0043507E" w:rsidP="00D7485D">
            <w:pPr>
              <w:spacing w:line="320" w:lineRule="exact"/>
              <w:rPr>
                <w:rFonts w:ascii="仿宋_GB2312"/>
                <w:sz w:val="24"/>
              </w:rPr>
            </w:pPr>
            <w:r>
              <w:rPr>
                <w:rFonts w:ascii="仿宋_GB2312" w:hint="eastAsia"/>
                <w:sz w:val="24"/>
              </w:rPr>
              <w:t>2.</w:t>
            </w:r>
            <w:r w:rsidR="003C06A6" w:rsidRPr="003C06A6">
              <w:rPr>
                <w:rFonts w:ascii="仿宋_GB2312" w:hint="eastAsia"/>
                <w:sz w:val="24"/>
              </w:rPr>
              <w:t>《药品注册管理办法》第一百一十四条第二款  开展生物等效性试验未备案的，按照《药品管理法》第一百二十七条处理。</w:t>
            </w:r>
          </w:p>
          <w:p w:rsidR="003F4FBE" w:rsidRPr="003F4FBE" w:rsidRDefault="0043507E" w:rsidP="00D7485D">
            <w:pPr>
              <w:spacing w:line="320" w:lineRule="exact"/>
              <w:rPr>
                <w:rFonts w:ascii="仿宋_GB2312"/>
                <w:sz w:val="24"/>
              </w:rPr>
            </w:pPr>
            <w:r>
              <w:rPr>
                <w:rFonts w:ascii="仿宋_GB2312" w:hint="eastAsia"/>
                <w:sz w:val="24"/>
              </w:rPr>
              <w:t>3.</w:t>
            </w:r>
            <w:r w:rsidR="003F4FBE" w:rsidRPr="003F4FBE">
              <w:rPr>
                <w:rFonts w:ascii="仿宋_GB2312" w:hint="eastAsia"/>
                <w:sz w:val="24"/>
              </w:rPr>
              <w:t>《药品注册管理办法》第一百一十五条  药物临床试验期间，发现存在安全性问题或者其他风险，临床试验申办者未及时调整临床试验方案、暂停或者终止临床试验，或者未向国家药品监督管理局报告的，按照《药品管理法》第一百二十七条处理。</w:t>
            </w:r>
          </w:p>
        </w:tc>
      </w:tr>
      <w:tr w:rsidR="00A00541" w:rsidTr="00D7485D">
        <w:tc>
          <w:tcPr>
            <w:tcW w:w="1234" w:type="dxa"/>
            <w:vAlign w:val="center"/>
          </w:tcPr>
          <w:p w:rsidR="00A00541" w:rsidRDefault="00A00541" w:rsidP="00D7485D">
            <w:pPr>
              <w:jc w:val="center"/>
            </w:pPr>
            <w:r w:rsidRPr="00F1628A">
              <w:rPr>
                <w:rFonts w:ascii="仿宋_GB2312" w:hint="eastAsia"/>
                <w:sz w:val="24"/>
              </w:rPr>
              <w:t>处罚种类</w:t>
            </w:r>
          </w:p>
        </w:tc>
        <w:tc>
          <w:tcPr>
            <w:tcW w:w="8122" w:type="dxa"/>
            <w:gridSpan w:val="3"/>
          </w:tcPr>
          <w:p w:rsidR="00A00541" w:rsidRPr="00F1628A" w:rsidRDefault="00A00541" w:rsidP="00D7485D">
            <w:pPr>
              <w:spacing w:line="320" w:lineRule="exact"/>
              <w:rPr>
                <w:rFonts w:ascii="仿宋_GB2312"/>
                <w:sz w:val="24"/>
              </w:rPr>
            </w:pPr>
            <w:r w:rsidRPr="00F1628A">
              <w:rPr>
                <w:rFonts w:ascii="仿宋_GB2312" w:hint="eastAsia"/>
                <w:sz w:val="24"/>
              </w:rPr>
              <w:t>警告；</w:t>
            </w:r>
          </w:p>
          <w:p w:rsidR="00A00541" w:rsidRPr="00F1628A" w:rsidRDefault="00A00541" w:rsidP="00D7485D">
            <w:pPr>
              <w:spacing w:line="320" w:lineRule="exact"/>
              <w:rPr>
                <w:rFonts w:ascii="仿宋_GB2312"/>
                <w:sz w:val="24"/>
              </w:rPr>
            </w:pPr>
            <w:r w:rsidRPr="00F1628A">
              <w:rPr>
                <w:rFonts w:ascii="仿宋_GB2312" w:hint="eastAsia"/>
                <w:sz w:val="24"/>
              </w:rPr>
              <w:t>罚款。</w:t>
            </w:r>
          </w:p>
        </w:tc>
      </w:tr>
      <w:tr w:rsidR="00A00541" w:rsidTr="00D7485D">
        <w:tc>
          <w:tcPr>
            <w:tcW w:w="1234" w:type="dxa"/>
            <w:vAlign w:val="center"/>
          </w:tcPr>
          <w:p w:rsidR="00A00541" w:rsidRDefault="00A00541" w:rsidP="00D7485D">
            <w:pPr>
              <w:jc w:val="center"/>
            </w:pPr>
            <w:r w:rsidRPr="00F1628A">
              <w:rPr>
                <w:rFonts w:ascii="仿宋_GB2312" w:hint="eastAsia"/>
                <w:sz w:val="24"/>
              </w:rPr>
              <w:t>实施主体</w:t>
            </w:r>
          </w:p>
        </w:tc>
        <w:tc>
          <w:tcPr>
            <w:tcW w:w="8122" w:type="dxa"/>
            <w:gridSpan w:val="3"/>
          </w:tcPr>
          <w:p w:rsidR="00A00541" w:rsidRPr="00F1628A" w:rsidRDefault="00A00541" w:rsidP="00D7485D">
            <w:pPr>
              <w:spacing w:line="320" w:lineRule="exact"/>
              <w:rPr>
                <w:rFonts w:ascii="仿宋_GB2312"/>
                <w:sz w:val="24"/>
              </w:rPr>
            </w:pPr>
            <w:r w:rsidRPr="00F1628A">
              <w:rPr>
                <w:rFonts w:ascii="仿宋_GB2312" w:hint="eastAsia"/>
                <w:sz w:val="24"/>
              </w:rPr>
              <w:t>县级以上人民政府药品监督管理部门。</w:t>
            </w:r>
          </w:p>
        </w:tc>
      </w:tr>
      <w:tr w:rsidR="00A00541" w:rsidTr="00D7485D">
        <w:tc>
          <w:tcPr>
            <w:tcW w:w="1234" w:type="dxa"/>
            <w:vAlign w:val="center"/>
          </w:tcPr>
          <w:p w:rsidR="00A00541" w:rsidRDefault="00A00541" w:rsidP="00D7485D">
            <w:pPr>
              <w:jc w:val="center"/>
            </w:pPr>
            <w:r w:rsidRPr="00F1628A">
              <w:rPr>
                <w:rFonts w:ascii="仿宋_GB2312" w:hint="eastAsia"/>
                <w:sz w:val="24"/>
              </w:rPr>
              <w:t>裁量范围</w:t>
            </w:r>
          </w:p>
        </w:tc>
        <w:tc>
          <w:tcPr>
            <w:tcW w:w="8122" w:type="dxa"/>
            <w:gridSpan w:val="3"/>
          </w:tcPr>
          <w:p w:rsidR="00A00541" w:rsidRPr="00F1628A" w:rsidRDefault="00A00541" w:rsidP="00D7485D">
            <w:pPr>
              <w:spacing w:line="320" w:lineRule="exact"/>
              <w:rPr>
                <w:rFonts w:ascii="仿宋_GB2312"/>
                <w:sz w:val="24"/>
              </w:rPr>
            </w:pPr>
            <w:r w:rsidRPr="00F1628A">
              <w:rPr>
                <w:rFonts w:ascii="仿宋_GB2312" w:hint="eastAsia"/>
                <w:sz w:val="24"/>
              </w:rPr>
              <w:t>处十万元以上五十万元以下的罚款。</w:t>
            </w:r>
          </w:p>
        </w:tc>
      </w:tr>
      <w:tr w:rsidR="005C3264" w:rsidTr="00D7485D">
        <w:trPr>
          <w:trHeight w:val="322"/>
        </w:trPr>
        <w:tc>
          <w:tcPr>
            <w:tcW w:w="1234" w:type="dxa"/>
            <w:vAlign w:val="center"/>
          </w:tcPr>
          <w:p w:rsidR="005C3264" w:rsidRDefault="005C3264" w:rsidP="00D7485D">
            <w:pPr>
              <w:jc w:val="center"/>
            </w:pPr>
            <w:r>
              <w:rPr>
                <w:rFonts w:ascii="仿宋_GB2312" w:hint="eastAsia"/>
                <w:sz w:val="24"/>
              </w:rPr>
              <w:t>违法主体</w:t>
            </w:r>
          </w:p>
        </w:tc>
        <w:tc>
          <w:tcPr>
            <w:tcW w:w="1284" w:type="dxa"/>
          </w:tcPr>
          <w:p w:rsidR="005C3264" w:rsidRPr="00700F08" w:rsidRDefault="005C3264" w:rsidP="00D7485D">
            <w:pPr>
              <w:jc w:val="center"/>
            </w:pPr>
            <w:r>
              <w:rPr>
                <w:rFonts w:ascii="仿宋_GB2312" w:hint="eastAsia"/>
                <w:sz w:val="24"/>
              </w:rPr>
              <w:t>适用情形</w:t>
            </w:r>
          </w:p>
        </w:tc>
        <w:tc>
          <w:tcPr>
            <w:tcW w:w="4332" w:type="dxa"/>
          </w:tcPr>
          <w:p w:rsidR="005C3264" w:rsidRDefault="005C3264" w:rsidP="00D7485D">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D7485D">
            <w:pPr>
              <w:jc w:val="center"/>
            </w:pPr>
            <w:r w:rsidRPr="00F1628A">
              <w:rPr>
                <w:rFonts w:ascii="仿宋_GB2312" w:hint="eastAsia"/>
                <w:sz w:val="24"/>
              </w:rPr>
              <w:t>裁量基准</w:t>
            </w:r>
          </w:p>
        </w:tc>
      </w:tr>
      <w:tr w:rsidR="00FF1BD9" w:rsidTr="00C36F0D">
        <w:trPr>
          <w:trHeight w:val="547"/>
        </w:trPr>
        <w:tc>
          <w:tcPr>
            <w:tcW w:w="1234" w:type="dxa"/>
            <w:vMerge w:val="restart"/>
            <w:vAlign w:val="center"/>
          </w:tcPr>
          <w:p w:rsidR="00FF1BD9" w:rsidRDefault="00FF1BD9" w:rsidP="00FF1BD9">
            <w:pPr>
              <w:jc w:val="center"/>
              <w:rPr>
                <w:rFonts w:ascii="仿宋_GB2312"/>
                <w:sz w:val="24"/>
              </w:rPr>
            </w:pPr>
            <w:r w:rsidRPr="00F1628A">
              <w:rPr>
                <w:rFonts w:ascii="仿宋_GB2312" w:hint="eastAsia"/>
                <w:sz w:val="24"/>
              </w:rPr>
              <w:t>临床试验申办者</w:t>
            </w:r>
            <w:r>
              <w:rPr>
                <w:rFonts w:ascii="仿宋_GB2312" w:hint="eastAsia"/>
                <w:sz w:val="24"/>
              </w:rPr>
              <w:t>、</w:t>
            </w:r>
            <w:r>
              <w:rPr>
                <w:rFonts w:ascii="仿宋_GB2312" w:hint="eastAsia"/>
                <w:kern w:val="0"/>
                <w:sz w:val="24"/>
              </w:rPr>
              <w:t>药品</w:t>
            </w:r>
            <w:r>
              <w:rPr>
                <w:rFonts w:ascii="仿宋_GB2312"/>
                <w:sz w:val="24"/>
              </w:rPr>
              <w:t>上市许可持有人</w:t>
            </w:r>
            <w:r>
              <w:rPr>
                <w:rFonts w:ascii="仿宋_GB2312" w:hint="eastAsia"/>
                <w:sz w:val="24"/>
              </w:rPr>
              <w:t>、药品</w:t>
            </w:r>
            <w:r>
              <w:rPr>
                <w:rFonts w:ascii="仿宋_GB2312"/>
                <w:sz w:val="24"/>
              </w:rPr>
              <w:t>生产企业</w:t>
            </w:r>
          </w:p>
        </w:tc>
        <w:tc>
          <w:tcPr>
            <w:tcW w:w="1284" w:type="dxa"/>
            <w:vAlign w:val="center"/>
          </w:tcPr>
          <w:p w:rsidR="00FF1BD9" w:rsidRPr="00F1628A" w:rsidRDefault="00FF1BD9" w:rsidP="00FF1BD9">
            <w:pPr>
              <w:spacing w:line="360" w:lineRule="exact"/>
              <w:jc w:val="center"/>
              <w:rPr>
                <w:rFonts w:ascii="仿宋_GB2312"/>
                <w:sz w:val="24"/>
              </w:rPr>
            </w:pPr>
            <w:r>
              <w:rPr>
                <w:rFonts w:ascii="仿宋_GB2312" w:hint="eastAsia"/>
                <w:sz w:val="24"/>
              </w:rPr>
              <w:t>基本罚</w:t>
            </w:r>
          </w:p>
        </w:tc>
        <w:tc>
          <w:tcPr>
            <w:tcW w:w="4332" w:type="dxa"/>
            <w:vAlign w:val="center"/>
          </w:tcPr>
          <w:p w:rsidR="00FF1BD9" w:rsidRDefault="00FF1BD9" w:rsidP="00FF1BD9">
            <w:r>
              <w:rPr>
                <w:rFonts w:ascii="仿宋_GB2312" w:hint="eastAsia"/>
                <w:sz w:val="24"/>
              </w:rPr>
              <w:t>不符合从轻、减轻或从重情形的</w:t>
            </w:r>
          </w:p>
        </w:tc>
        <w:tc>
          <w:tcPr>
            <w:tcW w:w="2506" w:type="dxa"/>
            <w:vAlign w:val="center"/>
          </w:tcPr>
          <w:p w:rsidR="00FF1BD9" w:rsidRPr="00F1628A" w:rsidRDefault="00FF1BD9" w:rsidP="00FF1BD9">
            <w:pPr>
              <w:spacing w:line="300" w:lineRule="exact"/>
              <w:rPr>
                <w:rFonts w:ascii="仿宋_GB2312"/>
                <w:sz w:val="24"/>
              </w:rPr>
            </w:pPr>
            <w:r>
              <w:rPr>
                <w:rFonts w:ascii="仿宋_GB2312" w:hint="eastAsia"/>
                <w:sz w:val="24"/>
              </w:rPr>
              <w:t>22万元以上38万元以下</w:t>
            </w:r>
            <w:r w:rsidRPr="00F1628A">
              <w:rPr>
                <w:rFonts w:ascii="仿宋_GB2312" w:hint="eastAsia"/>
                <w:sz w:val="24"/>
              </w:rPr>
              <w:t>罚款</w:t>
            </w:r>
          </w:p>
        </w:tc>
      </w:tr>
      <w:tr w:rsidR="00FF1BD9" w:rsidTr="00D7485D">
        <w:trPr>
          <w:trHeight w:val="510"/>
        </w:trPr>
        <w:tc>
          <w:tcPr>
            <w:tcW w:w="1234" w:type="dxa"/>
            <w:vMerge/>
            <w:vAlign w:val="center"/>
          </w:tcPr>
          <w:p w:rsidR="00FF1BD9" w:rsidRDefault="00FF1BD9" w:rsidP="00FF1BD9">
            <w:pPr>
              <w:jc w:val="center"/>
              <w:rPr>
                <w:rFonts w:ascii="仿宋_GB2312"/>
                <w:sz w:val="24"/>
              </w:rPr>
            </w:pPr>
          </w:p>
        </w:tc>
        <w:tc>
          <w:tcPr>
            <w:tcW w:w="1284" w:type="dxa"/>
            <w:vAlign w:val="center"/>
          </w:tcPr>
          <w:p w:rsidR="00FF1BD9" w:rsidRPr="00F1628A" w:rsidRDefault="00FF1BD9" w:rsidP="00FF1BD9">
            <w:pPr>
              <w:spacing w:line="360" w:lineRule="exact"/>
              <w:jc w:val="center"/>
              <w:rPr>
                <w:rFonts w:ascii="仿宋_GB2312"/>
                <w:sz w:val="24"/>
              </w:rPr>
            </w:pPr>
            <w:r w:rsidRPr="00F1628A">
              <w:rPr>
                <w:rFonts w:ascii="仿宋_GB2312" w:hint="eastAsia"/>
                <w:sz w:val="24"/>
              </w:rPr>
              <w:t>从轻</w:t>
            </w:r>
          </w:p>
        </w:tc>
        <w:tc>
          <w:tcPr>
            <w:tcW w:w="4332" w:type="dxa"/>
          </w:tcPr>
          <w:p w:rsidR="00FF1BD9" w:rsidRPr="00FF1BD9" w:rsidRDefault="00FF1BD9" w:rsidP="00FF1BD9">
            <w:pPr>
              <w:rPr>
                <w:rFonts w:hint="eastAsia"/>
                <w:sz w:val="24"/>
              </w:rPr>
            </w:pPr>
            <w:r>
              <w:rPr>
                <w:rFonts w:hint="eastAsia"/>
                <w:sz w:val="24"/>
              </w:rPr>
              <w:t>1.</w:t>
            </w:r>
            <w:proofErr w:type="gramStart"/>
            <w:r w:rsidRPr="00FF1BD9">
              <w:rPr>
                <w:rFonts w:hint="eastAsia"/>
                <w:sz w:val="24"/>
              </w:rPr>
              <w:t>仅仅未</w:t>
            </w:r>
            <w:proofErr w:type="gramEnd"/>
            <w:r w:rsidRPr="00FF1BD9">
              <w:rPr>
                <w:rFonts w:hint="eastAsia"/>
                <w:sz w:val="24"/>
              </w:rPr>
              <w:t>建立药品追溯制度的；</w:t>
            </w:r>
          </w:p>
          <w:p w:rsidR="00FF1BD9" w:rsidRPr="00FF1BD9" w:rsidRDefault="00FF1BD9" w:rsidP="00FF1BD9">
            <w:pPr>
              <w:rPr>
                <w:rFonts w:hint="eastAsia"/>
                <w:sz w:val="24"/>
              </w:rPr>
            </w:pPr>
            <w:r>
              <w:rPr>
                <w:rFonts w:hint="eastAsia"/>
                <w:sz w:val="24"/>
              </w:rPr>
              <w:t>2.</w:t>
            </w:r>
            <w:r w:rsidRPr="00FF1BD9">
              <w:rPr>
                <w:rFonts w:hint="eastAsia"/>
                <w:sz w:val="24"/>
              </w:rPr>
              <w:t>涉案产品尚未销售或者使用的；</w:t>
            </w:r>
          </w:p>
          <w:p w:rsidR="00FF1BD9" w:rsidRPr="00FF1BD9" w:rsidRDefault="00FF1BD9" w:rsidP="00FF1BD9">
            <w:pPr>
              <w:rPr>
                <w:rFonts w:hint="eastAsia"/>
                <w:sz w:val="24"/>
              </w:rPr>
            </w:pPr>
            <w:r>
              <w:rPr>
                <w:rFonts w:hint="eastAsia"/>
                <w:sz w:val="24"/>
              </w:rPr>
              <w:t>3.</w:t>
            </w:r>
            <w:r w:rsidRPr="00FF1BD9">
              <w:rPr>
                <w:rFonts w:hint="eastAsia"/>
                <w:sz w:val="24"/>
              </w:rPr>
              <w:t>涉案产品风险性低的；</w:t>
            </w:r>
          </w:p>
          <w:p w:rsidR="00FF1BD9" w:rsidRPr="00FF1BD9" w:rsidRDefault="00FF1BD9" w:rsidP="00FF1BD9">
            <w:pPr>
              <w:rPr>
                <w:rFonts w:hint="eastAsia"/>
                <w:sz w:val="24"/>
              </w:rPr>
            </w:pPr>
            <w:r>
              <w:rPr>
                <w:rFonts w:hint="eastAsia"/>
                <w:sz w:val="24"/>
              </w:rPr>
              <w:t>4.</w:t>
            </w:r>
            <w:r w:rsidRPr="00FF1BD9">
              <w:rPr>
                <w:rFonts w:hint="eastAsia"/>
                <w:sz w:val="24"/>
              </w:rPr>
              <w:t>主动采取改正、召回或者赔付等措施，减轻危害后果的；</w:t>
            </w:r>
          </w:p>
          <w:p w:rsidR="00FF1BD9" w:rsidRPr="00E6218C" w:rsidRDefault="00FF1BD9" w:rsidP="00FF1BD9">
            <w:pPr>
              <w:rPr>
                <w:sz w:val="24"/>
              </w:rPr>
            </w:pPr>
            <w:r>
              <w:rPr>
                <w:rFonts w:hint="eastAsia"/>
                <w:sz w:val="24"/>
              </w:rPr>
              <w:t>5.</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FF1BD9" w:rsidRPr="00F1628A" w:rsidRDefault="00FF1BD9" w:rsidP="00FF1BD9">
            <w:pPr>
              <w:spacing w:line="300" w:lineRule="exact"/>
              <w:rPr>
                <w:rFonts w:ascii="仿宋_GB2312"/>
                <w:sz w:val="24"/>
              </w:rPr>
            </w:pPr>
            <w:r>
              <w:rPr>
                <w:rFonts w:ascii="仿宋_GB2312" w:hint="eastAsia"/>
                <w:sz w:val="24"/>
              </w:rPr>
              <w:t>10万元以上22万元以下</w:t>
            </w:r>
            <w:r w:rsidRPr="00F1628A">
              <w:rPr>
                <w:rFonts w:ascii="仿宋_GB2312" w:hint="eastAsia"/>
                <w:sz w:val="24"/>
              </w:rPr>
              <w:t>罚款</w:t>
            </w:r>
          </w:p>
        </w:tc>
      </w:tr>
      <w:tr w:rsidR="00FF1BD9" w:rsidTr="00D7485D">
        <w:trPr>
          <w:trHeight w:val="390"/>
        </w:trPr>
        <w:tc>
          <w:tcPr>
            <w:tcW w:w="1234" w:type="dxa"/>
            <w:vMerge/>
            <w:vAlign w:val="center"/>
          </w:tcPr>
          <w:p w:rsidR="00FF1BD9" w:rsidRDefault="00FF1BD9" w:rsidP="00FF1BD9">
            <w:pPr>
              <w:jc w:val="center"/>
              <w:rPr>
                <w:rFonts w:ascii="仿宋_GB2312"/>
                <w:sz w:val="24"/>
              </w:rPr>
            </w:pPr>
          </w:p>
        </w:tc>
        <w:tc>
          <w:tcPr>
            <w:tcW w:w="1284" w:type="dxa"/>
            <w:vAlign w:val="center"/>
          </w:tcPr>
          <w:p w:rsidR="00FF1BD9" w:rsidRPr="00F1628A" w:rsidRDefault="00FF1BD9" w:rsidP="00FF1BD9">
            <w:pPr>
              <w:spacing w:line="360" w:lineRule="exact"/>
              <w:jc w:val="center"/>
              <w:rPr>
                <w:rFonts w:ascii="仿宋_GB2312"/>
                <w:sz w:val="24"/>
              </w:rPr>
            </w:pPr>
            <w:r w:rsidRPr="00F1628A">
              <w:rPr>
                <w:rFonts w:ascii="仿宋_GB2312" w:hint="eastAsia"/>
                <w:sz w:val="24"/>
              </w:rPr>
              <w:t>减轻</w:t>
            </w:r>
          </w:p>
        </w:tc>
        <w:tc>
          <w:tcPr>
            <w:tcW w:w="4332" w:type="dxa"/>
          </w:tcPr>
          <w:p w:rsidR="00FF1BD9" w:rsidRPr="00E520F9" w:rsidRDefault="00FF1BD9" w:rsidP="00FF1BD9">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p>
        </w:tc>
        <w:tc>
          <w:tcPr>
            <w:tcW w:w="2506" w:type="dxa"/>
            <w:vAlign w:val="center"/>
          </w:tcPr>
          <w:p w:rsidR="00FF1BD9" w:rsidRPr="00F1628A" w:rsidRDefault="00FF1BD9" w:rsidP="00FF1BD9">
            <w:pPr>
              <w:spacing w:line="300" w:lineRule="exact"/>
              <w:rPr>
                <w:rFonts w:ascii="仿宋_GB2312"/>
                <w:sz w:val="24"/>
              </w:rPr>
            </w:pPr>
            <w:r>
              <w:rPr>
                <w:rFonts w:ascii="仿宋_GB2312" w:hint="eastAsia"/>
                <w:sz w:val="24"/>
              </w:rPr>
              <w:t>1</w:t>
            </w:r>
            <w:r>
              <w:rPr>
                <w:rFonts w:ascii="仿宋_GB2312" w:hint="eastAsia"/>
                <w:sz w:val="24"/>
              </w:rPr>
              <w:t>万</w:t>
            </w:r>
            <w:r>
              <w:rPr>
                <w:rFonts w:ascii="仿宋_GB2312" w:hint="eastAsia"/>
                <w:sz w:val="24"/>
              </w:rPr>
              <w:t>元</w:t>
            </w:r>
            <w:r>
              <w:rPr>
                <w:rFonts w:ascii="仿宋_GB2312" w:hint="eastAsia"/>
                <w:sz w:val="24"/>
              </w:rPr>
              <w:t>以上</w:t>
            </w:r>
            <w:r>
              <w:rPr>
                <w:rFonts w:ascii="仿宋_GB2312" w:hint="eastAsia"/>
                <w:sz w:val="24"/>
              </w:rPr>
              <w:t>10</w:t>
            </w:r>
            <w:r>
              <w:rPr>
                <w:rFonts w:ascii="仿宋_GB2312" w:hint="eastAsia"/>
                <w:sz w:val="24"/>
              </w:rPr>
              <w:t>万</w:t>
            </w:r>
            <w:r>
              <w:rPr>
                <w:rFonts w:ascii="仿宋_GB2312" w:hint="eastAsia"/>
                <w:sz w:val="24"/>
              </w:rPr>
              <w:t>元</w:t>
            </w:r>
            <w:r>
              <w:rPr>
                <w:rFonts w:ascii="仿宋_GB2312" w:hint="eastAsia"/>
                <w:sz w:val="24"/>
              </w:rPr>
              <w:t>以下</w:t>
            </w:r>
            <w:r w:rsidRPr="00F1628A">
              <w:rPr>
                <w:rFonts w:ascii="仿宋_GB2312" w:hint="eastAsia"/>
                <w:sz w:val="24"/>
              </w:rPr>
              <w:t>罚款</w:t>
            </w:r>
          </w:p>
        </w:tc>
      </w:tr>
      <w:tr w:rsidR="00FF1BD9" w:rsidTr="00D7485D">
        <w:trPr>
          <w:trHeight w:val="628"/>
        </w:trPr>
        <w:tc>
          <w:tcPr>
            <w:tcW w:w="1234" w:type="dxa"/>
            <w:vMerge/>
            <w:vAlign w:val="center"/>
          </w:tcPr>
          <w:p w:rsidR="00FF1BD9" w:rsidRDefault="00FF1BD9" w:rsidP="00FF1BD9">
            <w:pPr>
              <w:jc w:val="center"/>
              <w:rPr>
                <w:rFonts w:ascii="仿宋_GB2312"/>
                <w:sz w:val="24"/>
              </w:rPr>
            </w:pPr>
          </w:p>
        </w:tc>
        <w:tc>
          <w:tcPr>
            <w:tcW w:w="1284" w:type="dxa"/>
            <w:vAlign w:val="center"/>
          </w:tcPr>
          <w:p w:rsidR="00FF1BD9" w:rsidRPr="00F1628A" w:rsidRDefault="00FF1BD9" w:rsidP="00FF1BD9">
            <w:pPr>
              <w:spacing w:line="360" w:lineRule="exact"/>
              <w:jc w:val="center"/>
              <w:rPr>
                <w:rFonts w:ascii="仿宋_GB2312"/>
                <w:sz w:val="24"/>
              </w:rPr>
            </w:pPr>
            <w:r w:rsidRPr="00F1628A">
              <w:rPr>
                <w:rFonts w:ascii="仿宋_GB2312" w:hint="eastAsia"/>
                <w:sz w:val="24"/>
              </w:rPr>
              <w:t>从重</w:t>
            </w:r>
          </w:p>
        </w:tc>
        <w:tc>
          <w:tcPr>
            <w:tcW w:w="4332" w:type="dxa"/>
          </w:tcPr>
          <w:p w:rsidR="001327A5" w:rsidRDefault="001327A5" w:rsidP="00FF1BD9">
            <w:pPr>
              <w:rPr>
                <w:rFonts w:hint="eastAsia"/>
                <w:sz w:val="24"/>
              </w:rPr>
            </w:pPr>
            <w:r>
              <w:rPr>
                <w:rFonts w:hint="eastAsia"/>
                <w:sz w:val="24"/>
              </w:rPr>
              <w:t>1.</w:t>
            </w:r>
            <w:r w:rsidRPr="001327A5">
              <w:rPr>
                <w:rFonts w:hint="eastAsia"/>
                <w:sz w:val="24"/>
              </w:rPr>
              <w:t>两年内实施同一性质违法行为被行政处罚过的；</w:t>
            </w:r>
          </w:p>
          <w:p w:rsidR="001327A5" w:rsidRDefault="001327A5" w:rsidP="00FF1BD9">
            <w:pPr>
              <w:rPr>
                <w:rFonts w:hint="eastAsia"/>
                <w:sz w:val="24"/>
              </w:rPr>
            </w:pPr>
            <w:r>
              <w:rPr>
                <w:rFonts w:hint="eastAsia"/>
                <w:sz w:val="24"/>
              </w:rPr>
              <w:t>2.</w:t>
            </w:r>
            <w:r w:rsidRPr="001327A5">
              <w:rPr>
                <w:rFonts w:hint="eastAsia"/>
                <w:sz w:val="24"/>
              </w:rPr>
              <w:t>拒不采取改正、应急或者召回等措施，导致后果扩大的；</w:t>
            </w:r>
          </w:p>
          <w:p w:rsidR="001327A5" w:rsidRDefault="001327A5" w:rsidP="00FF1BD9">
            <w:pPr>
              <w:rPr>
                <w:rFonts w:hint="eastAsia"/>
                <w:sz w:val="24"/>
              </w:rPr>
            </w:pPr>
            <w:r>
              <w:rPr>
                <w:rFonts w:hint="eastAsia"/>
                <w:sz w:val="24"/>
              </w:rPr>
              <w:lastRenderedPageBreak/>
              <w:t>3.</w:t>
            </w:r>
            <w:r w:rsidRPr="001327A5">
              <w:rPr>
                <w:rFonts w:hint="eastAsia"/>
                <w:sz w:val="24"/>
              </w:rPr>
              <w:t>许可证或者产品批准证明文件被撤销、吊销或者宣告无效后，仍然从事生产或者经营活动的；</w:t>
            </w:r>
          </w:p>
          <w:p w:rsidR="001327A5" w:rsidRDefault="001327A5" w:rsidP="00FF1BD9">
            <w:pPr>
              <w:rPr>
                <w:rFonts w:hint="eastAsia"/>
                <w:sz w:val="24"/>
              </w:rPr>
            </w:pPr>
            <w:r>
              <w:rPr>
                <w:rFonts w:hint="eastAsia"/>
                <w:sz w:val="24"/>
              </w:rPr>
              <w:t>4.</w:t>
            </w:r>
            <w:r w:rsidRPr="001327A5">
              <w:rPr>
                <w:rFonts w:hint="eastAsia"/>
                <w:sz w:val="24"/>
              </w:rPr>
              <w:t>拒绝、逃避监督检查，或者伪造、销毁、隐匿有关证据材料的，或者擅自动用查封、扣押物品的；</w:t>
            </w:r>
          </w:p>
          <w:p w:rsidR="00FF1BD9" w:rsidRPr="00E6218C" w:rsidRDefault="001327A5" w:rsidP="00FF1BD9">
            <w:pPr>
              <w:rPr>
                <w:sz w:val="24"/>
              </w:rPr>
            </w:pPr>
            <w:r>
              <w:rPr>
                <w:rFonts w:hint="eastAsia"/>
                <w:sz w:val="24"/>
              </w:rPr>
              <w:t>5.</w:t>
            </w:r>
            <w:r w:rsidR="00FF1BD9" w:rsidRPr="00E520F9">
              <w:rPr>
                <w:rFonts w:hint="eastAsia"/>
                <w:sz w:val="24"/>
              </w:rPr>
              <w:t>符合《河北省市场监督管理行政处罚裁量权适用规则》</w:t>
            </w:r>
            <w:r w:rsidR="00FF1BD9">
              <w:rPr>
                <w:rFonts w:hint="eastAsia"/>
                <w:sz w:val="24"/>
              </w:rPr>
              <w:t>及《</w:t>
            </w:r>
            <w:r w:rsidR="00FF1BD9" w:rsidRPr="0020442D">
              <w:rPr>
                <w:rFonts w:hint="eastAsia"/>
                <w:bCs/>
                <w:sz w:val="24"/>
              </w:rPr>
              <w:t>河北省药品行政处罚裁量适用情形</w:t>
            </w:r>
            <w:r w:rsidR="00FF1BD9">
              <w:rPr>
                <w:rFonts w:hint="eastAsia"/>
                <w:sz w:val="24"/>
              </w:rPr>
              <w:t>》从重</w:t>
            </w:r>
            <w:r w:rsidR="00FF1BD9" w:rsidRPr="00E520F9">
              <w:rPr>
                <w:rFonts w:hint="eastAsia"/>
                <w:sz w:val="24"/>
              </w:rPr>
              <w:t>行政处罚情形的。</w:t>
            </w:r>
          </w:p>
        </w:tc>
        <w:tc>
          <w:tcPr>
            <w:tcW w:w="2506" w:type="dxa"/>
            <w:vAlign w:val="center"/>
          </w:tcPr>
          <w:p w:rsidR="00FF1BD9" w:rsidRPr="00F1628A" w:rsidRDefault="00FF1BD9" w:rsidP="00FF1BD9">
            <w:pPr>
              <w:spacing w:line="360" w:lineRule="exact"/>
              <w:rPr>
                <w:rFonts w:ascii="仿宋_GB2312"/>
                <w:sz w:val="24"/>
              </w:rPr>
            </w:pPr>
            <w:r>
              <w:rPr>
                <w:rFonts w:ascii="仿宋_GB2312" w:hint="eastAsia"/>
                <w:sz w:val="24"/>
              </w:rPr>
              <w:lastRenderedPageBreak/>
              <w:t>38万元以上50万元以下</w:t>
            </w:r>
            <w:r w:rsidRPr="00F1628A">
              <w:rPr>
                <w:rFonts w:ascii="仿宋_GB2312" w:hint="eastAsia"/>
                <w:sz w:val="24"/>
              </w:rPr>
              <w:t>罚款</w:t>
            </w:r>
          </w:p>
        </w:tc>
      </w:tr>
      <w:tr w:rsidR="00FF1BD9" w:rsidTr="00D7485D">
        <w:trPr>
          <w:trHeight w:val="231"/>
        </w:trPr>
        <w:tc>
          <w:tcPr>
            <w:tcW w:w="1234" w:type="dxa"/>
            <w:vAlign w:val="center"/>
          </w:tcPr>
          <w:p w:rsidR="00FF1BD9" w:rsidRDefault="00FF1BD9" w:rsidP="00FF1BD9">
            <w:pPr>
              <w:jc w:val="center"/>
            </w:pPr>
            <w:r w:rsidRPr="00F1628A">
              <w:rPr>
                <w:rFonts w:ascii="仿宋_GB2312" w:hint="eastAsia"/>
                <w:sz w:val="24"/>
              </w:rPr>
              <w:lastRenderedPageBreak/>
              <w:t>说明</w:t>
            </w:r>
          </w:p>
        </w:tc>
        <w:tc>
          <w:tcPr>
            <w:tcW w:w="8122" w:type="dxa"/>
            <w:gridSpan w:val="3"/>
          </w:tcPr>
          <w:p w:rsidR="00FF1BD9" w:rsidRDefault="00FF1BD9" w:rsidP="00FF1BD9"/>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24C" w:rsidRDefault="00CB324C" w:rsidP="005C3264">
      <w:r>
        <w:separator/>
      </w:r>
    </w:p>
  </w:endnote>
  <w:endnote w:type="continuationSeparator" w:id="0">
    <w:p w:rsidR="00CB324C" w:rsidRDefault="00CB324C"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24C" w:rsidRDefault="00CB324C" w:rsidP="005C3264">
      <w:r>
        <w:separator/>
      </w:r>
    </w:p>
  </w:footnote>
  <w:footnote w:type="continuationSeparator" w:id="0">
    <w:p w:rsidR="00CB324C" w:rsidRDefault="00CB324C"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2397"/>
    <w:rsid w:val="000175EA"/>
    <w:rsid w:val="000206EA"/>
    <w:rsid w:val="000231AF"/>
    <w:rsid w:val="00062189"/>
    <w:rsid w:val="000655FB"/>
    <w:rsid w:val="00094698"/>
    <w:rsid w:val="00096DC9"/>
    <w:rsid w:val="000A07A6"/>
    <w:rsid w:val="000A197D"/>
    <w:rsid w:val="000A2CCF"/>
    <w:rsid w:val="000A3757"/>
    <w:rsid w:val="000B1A66"/>
    <w:rsid w:val="000C25F6"/>
    <w:rsid w:val="000C3E7B"/>
    <w:rsid w:val="000E0DE3"/>
    <w:rsid w:val="000E5A8C"/>
    <w:rsid w:val="000E6D30"/>
    <w:rsid w:val="00106362"/>
    <w:rsid w:val="001327A5"/>
    <w:rsid w:val="00135597"/>
    <w:rsid w:val="00136406"/>
    <w:rsid w:val="001462C6"/>
    <w:rsid w:val="00177093"/>
    <w:rsid w:val="001842E3"/>
    <w:rsid w:val="001A0815"/>
    <w:rsid w:val="001B3BE0"/>
    <w:rsid w:val="001B6365"/>
    <w:rsid w:val="001E1AFD"/>
    <w:rsid w:val="001E3166"/>
    <w:rsid w:val="001E377A"/>
    <w:rsid w:val="00200CF5"/>
    <w:rsid w:val="00202426"/>
    <w:rsid w:val="002056A3"/>
    <w:rsid w:val="00211693"/>
    <w:rsid w:val="0021341B"/>
    <w:rsid w:val="00225789"/>
    <w:rsid w:val="00237081"/>
    <w:rsid w:val="002616F3"/>
    <w:rsid w:val="0029688E"/>
    <w:rsid w:val="002B1F06"/>
    <w:rsid w:val="002C5A10"/>
    <w:rsid w:val="002C764C"/>
    <w:rsid w:val="002F096A"/>
    <w:rsid w:val="00304805"/>
    <w:rsid w:val="003139AA"/>
    <w:rsid w:val="00314CD6"/>
    <w:rsid w:val="003243F2"/>
    <w:rsid w:val="00327E5B"/>
    <w:rsid w:val="00331613"/>
    <w:rsid w:val="0033492B"/>
    <w:rsid w:val="00353DA4"/>
    <w:rsid w:val="00364340"/>
    <w:rsid w:val="0037258A"/>
    <w:rsid w:val="00373C69"/>
    <w:rsid w:val="0038366F"/>
    <w:rsid w:val="003A75D2"/>
    <w:rsid w:val="003B72F1"/>
    <w:rsid w:val="003B7404"/>
    <w:rsid w:val="003C06A6"/>
    <w:rsid w:val="003C6D68"/>
    <w:rsid w:val="003D2702"/>
    <w:rsid w:val="003D3123"/>
    <w:rsid w:val="003E552F"/>
    <w:rsid w:val="003F4FBE"/>
    <w:rsid w:val="004118C3"/>
    <w:rsid w:val="00417C94"/>
    <w:rsid w:val="00421FB0"/>
    <w:rsid w:val="0043507E"/>
    <w:rsid w:val="0044636B"/>
    <w:rsid w:val="0045040E"/>
    <w:rsid w:val="00456ED8"/>
    <w:rsid w:val="0046299E"/>
    <w:rsid w:val="00463373"/>
    <w:rsid w:val="00466355"/>
    <w:rsid w:val="0049194A"/>
    <w:rsid w:val="004A1790"/>
    <w:rsid w:val="004B41DD"/>
    <w:rsid w:val="004C0EA9"/>
    <w:rsid w:val="004C0FC3"/>
    <w:rsid w:val="004D2A8B"/>
    <w:rsid w:val="004F0A4D"/>
    <w:rsid w:val="004F3B73"/>
    <w:rsid w:val="00500458"/>
    <w:rsid w:val="00503360"/>
    <w:rsid w:val="00507267"/>
    <w:rsid w:val="005179C0"/>
    <w:rsid w:val="005316C3"/>
    <w:rsid w:val="005607C4"/>
    <w:rsid w:val="00560C91"/>
    <w:rsid w:val="00561DE7"/>
    <w:rsid w:val="00564C19"/>
    <w:rsid w:val="00585765"/>
    <w:rsid w:val="0059249D"/>
    <w:rsid w:val="005A3B32"/>
    <w:rsid w:val="005B4886"/>
    <w:rsid w:val="005C11D7"/>
    <w:rsid w:val="005C3264"/>
    <w:rsid w:val="005C7631"/>
    <w:rsid w:val="005D2F53"/>
    <w:rsid w:val="005D6116"/>
    <w:rsid w:val="005E22AA"/>
    <w:rsid w:val="005E617F"/>
    <w:rsid w:val="005F2959"/>
    <w:rsid w:val="005F2B86"/>
    <w:rsid w:val="005F52CA"/>
    <w:rsid w:val="00600BF8"/>
    <w:rsid w:val="006057C3"/>
    <w:rsid w:val="00617AB6"/>
    <w:rsid w:val="00627BF2"/>
    <w:rsid w:val="00640749"/>
    <w:rsid w:val="0064583F"/>
    <w:rsid w:val="006567BC"/>
    <w:rsid w:val="00676407"/>
    <w:rsid w:val="00684704"/>
    <w:rsid w:val="006861E0"/>
    <w:rsid w:val="0068729C"/>
    <w:rsid w:val="00692B52"/>
    <w:rsid w:val="006B4F48"/>
    <w:rsid w:val="006B5BE7"/>
    <w:rsid w:val="006B6DE9"/>
    <w:rsid w:val="006C1175"/>
    <w:rsid w:val="006D1AC1"/>
    <w:rsid w:val="00720649"/>
    <w:rsid w:val="00721AF1"/>
    <w:rsid w:val="00734222"/>
    <w:rsid w:val="00735E91"/>
    <w:rsid w:val="0073732E"/>
    <w:rsid w:val="00745F75"/>
    <w:rsid w:val="0076086F"/>
    <w:rsid w:val="00763A30"/>
    <w:rsid w:val="007763A1"/>
    <w:rsid w:val="00776FAE"/>
    <w:rsid w:val="00793944"/>
    <w:rsid w:val="007A0EFB"/>
    <w:rsid w:val="007D24A1"/>
    <w:rsid w:val="007D658F"/>
    <w:rsid w:val="007E4BA0"/>
    <w:rsid w:val="007E74F9"/>
    <w:rsid w:val="00801E6C"/>
    <w:rsid w:val="00805AB6"/>
    <w:rsid w:val="00834226"/>
    <w:rsid w:val="00837217"/>
    <w:rsid w:val="00843D49"/>
    <w:rsid w:val="00851FC9"/>
    <w:rsid w:val="00860229"/>
    <w:rsid w:val="00870B0B"/>
    <w:rsid w:val="0087107C"/>
    <w:rsid w:val="008920B9"/>
    <w:rsid w:val="008960E7"/>
    <w:rsid w:val="008D5B34"/>
    <w:rsid w:val="008E0FC0"/>
    <w:rsid w:val="009129B9"/>
    <w:rsid w:val="00913ACB"/>
    <w:rsid w:val="00914D80"/>
    <w:rsid w:val="009647B8"/>
    <w:rsid w:val="009654B3"/>
    <w:rsid w:val="009668D0"/>
    <w:rsid w:val="009726DF"/>
    <w:rsid w:val="00980F2F"/>
    <w:rsid w:val="009A3D5E"/>
    <w:rsid w:val="009A54B9"/>
    <w:rsid w:val="009C23DD"/>
    <w:rsid w:val="009F4AF7"/>
    <w:rsid w:val="009F7179"/>
    <w:rsid w:val="00A00541"/>
    <w:rsid w:val="00A050B1"/>
    <w:rsid w:val="00A10214"/>
    <w:rsid w:val="00A13A5A"/>
    <w:rsid w:val="00A14413"/>
    <w:rsid w:val="00A4056E"/>
    <w:rsid w:val="00A51C18"/>
    <w:rsid w:val="00A530BD"/>
    <w:rsid w:val="00A554ED"/>
    <w:rsid w:val="00A6288F"/>
    <w:rsid w:val="00A66836"/>
    <w:rsid w:val="00A74A96"/>
    <w:rsid w:val="00A80499"/>
    <w:rsid w:val="00A86AFF"/>
    <w:rsid w:val="00AB02F9"/>
    <w:rsid w:val="00AB6DCF"/>
    <w:rsid w:val="00AE1E19"/>
    <w:rsid w:val="00AF0106"/>
    <w:rsid w:val="00B04E02"/>
    <w:rsid w:val="00B11B65"/>
    <w:rsid w:val="00B22DFD"/>
    <w:rsid w:val="00B5576E"/>
    <w:rsid w:val="00B60357"/>
    <w:rsid w:val="00B60B73"/>
    <w:rsid w:val="00B85D6F"/>
    <w:rsid w:val="00BA05FA"/>
    <w:rsid w:val="00BA60E0"/>
    <w:rsid w:val="00BB0447"/>
    <w:rsid w:val="00BB76AF"/>
    <w:rsid w:val="00BB7A44"/>
    <w:rsid w:val="00BC4FEF"/>
    <w:rsid w:val="00BD5D62"/>
    <w:rsid w:val="00BD7BA6"/>
    <w:rsid w:val="00BE022D"/>
    <w:rsid w:val="00BE2462"/>
    <w:rsid w:val="00BE7CD2"/>
    <w:rsid w:val="00BF60F1"/>
    <w:rsid w:val="00C32501"/>
    <w:rsid w:val="00C34811"/>
    <w:rsid w:val="00C371A9"/>
    <w:rsid w:val="00C44073"/>
    <w:rsid w:val="00C449D4"/>
    <w:rsid w:val="00C52304"/>
    <w:rsid w:val="00C57F0D"/>
    <w:rsid w:val="00C615AF"/>
    <w:rsid w:val="00C62D19"/>
    <w:rsid w:val="00C7112C"/>
    <w:rsid w:val="00C97CA4"/>
    <w:rsid w:val="00CA2E0A"/>
    <w:rsid w:val="00CA67C0"/>
    <w:rsid w:val="00CB324C"/>
    <w:rsid w:val="00CC478F"/>
    <w:rsid w:val="00CE1B2A"/>
    <w:rsid w:val="00CF7290"/>
    <w:rsid w:val="00D00F0B"/>
    <w:rsid w:val="00D02D55"/>
    <w:rsid w:val="00D02D8B"/>
    <w:rsid w:val="00D05AC0"/>
    <w:rsid w:val="00D1650A"/>
    <w:rsid w:val="00D24DC7"/>
    <w:rsid w:val="00D309AB"/>
    <w:rsid w:val="00D30EA3"/>
    <w:rsid w:val="00D40DA3"/>
    <w:rsid w:val="00D45067"/>
    <w:rsid w:val="00D4537A"/>
    <w:rsid w:val="00D478DB"/>
    <w:rsid w:val="00D54F8B"/>
    <w:rsid w:val="00D55BE1"/>
    <w:rsid w:val="00D73250"/>
    <w:rsid w:val="00D7485D"/>
    <w:rsid w:val="00D95FBD"/>
    <w:rsid w:val="00DC0C43"/>
    <w:rsid w:val="00DD750B"/>
    <w:rsid w:val="00DF26AC"/>
    <w:rsid w:val="00DF4E14"/>
    <w:rsid w:val="00E1667C"/>
    <w:rsid w:val="00E332DE"/>
    <w:rsid w:val="00E53018"/>
    <w:rsid w:val="00E5410C"/>
    <w:rsid w:val="00E72ADB"/>
    <w:rsid w:val="00E80AD4"/>
    <w:rsid w:val="00E8394D"/>
    <w:rsid w:val="00E97356"/>
    <w:rsid w:val="00EA2986"/>
    <w:rsid w:val="00EA45FC"/>
    <w:rsid w:val="00EA6548"/>
    <w:rsid w:val="00EA6C51"/>
    <w:rsid w:val="00EC3006"/>
    <w:rsid w:val="00EC6968"/>
    <w:rsid w:val="00ED6E12"/>
    <w:rsid w:val="00EE7559"/>
    <w:rsid w:val="00F12CBA"/>
    <w:rsid w:val="00F16B5B"/>
    <w:rsid w:val="00F25409"/>
    <w:rsid w:val="00F42DC0"/>
    <w:rsid w:val="00F67190"/>
    <w:rsid w:val="00F751DA"/>
    <w:rsid w:val="00F808D0"/>
    <w:rsid w:val="00F82463"/>
    <w:rsid w:val="00F82CA2"/>
    <w:rsid w:val="00F91BE3"/>
    <w:rsid w:val="00F94339"/>
    <w:rsid w:val="00F94D02"/>
    <w:rsid w:val="00FA16A3"/>
    <w:rsid w:val="00FB418C"/>
    <w:rsid w:val="00FC54D1"/>
    <w:rsid w:val="00FE0A35"/>
    <w:rsid w:val="00FF0AC6"/>
    <w:rsid w:val="00FF1BD9"/>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31FF6-A199-4989-809D-20C5258DD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347</Words>
  <Characters>1978</Characters>
  <Application>Microsoft Office Word</Application>
  <DocSecurity>0</DocSecurity>
  <Lines>16</Lines>
  <Paragraphs>4</Paragraphs>
  <ScaleCrop>false</ScaleCrop>
  <Company>神州网信技术有限公司</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28</cp:revision>
  <dcterms:created xsi:type="dcterms:W3CDTF">2020-09-21T06:12:00Z</dcterms:created>
  <dcterms:modified xsi:type="dcterms:W3CDTF">2020-10-19T03:42:00Z</dcterms:modified>
</cp:coreProperties>
</file>